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NW_30069 (Nordrhein-Westfalen) — Zulassungsvoraussetzungen für die Abschluss-und Umschulungsprüfung(§ 43 in Verbindung mit §§ 58 – 63 BBiG und § 65 Absatz 2 Satz 2 BBiG)</w:t>
      </w:r>
    </w:p>
    <w:p>
      <w:r>
        <w:rPr>
          <w:color w:val="555555"/>
          <w:sz w:val="18"/>
        </w:rPr>
        <w:t xml:space="preserve">Prüfungsordnung der Bezirksregierung Düsseldorf für die Durchführung von Abschluss- und Umschulungsprüfungen in dem Ausbildungsberuf Fachangestellte/Fachangestellter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Abschlussprüfung ist zuzulassen,</w:t>
      </w:r>
    </w:p>
    <w:p>
      <w:r>
        <w:t xml:space="preserve">1. wer die Ausbildungszeit zurückgelegt hat oder wessen Ausbildungszeit nicht später als zwei Monate nach dem Prüfungstermin endet,</w:t>
      </w:r>
    </w:p>
    <w:p>
      <w:r>
        <w:t xml:space="preserve">2. wer an der vorgeschriebenen Zwischenprüfung teilgenommen sowie schriftliche Ausbildungsnachweise geführt hat und</w:t>
      </w:r>
    </w:p>
    <w:p>
      <w:r>
        <w:t xml:space="preserve">3. wessen Berufsausbildungsverhältnis in das Verzeichnis der Berufsausbildungsverhältnisse eingetragen oder aus einem Grund nicht eingetragen ist, den weder die Auszubildenden noch deren gesetzliche Vertreter oder Vertreterinnen zu vertreten haben.</w:t>
      </w:r>
    </w:p>
    <w:p>
      <w:r>
        <w:t xml:space="preserve">(2) Umzuschulende sind zur Abschlussprüfung zuzulassen, wenn</w:t>
      </w:r>
    </w:p>
    <w:p>
      <w:r>
        <w:t xml:space="preserve">1. sie eine angemessene Umschulungszeit bereits zurückgelegt haben oder wenn diese nicht später als zwei Monate nach dem Prüfungstermin endet,</w:t>
      </w:r>
    </w:p>
    <w:p>
      <w:r>
        <w:t xml:space="preserve">2. sie glaubhaft nachweisen, dass sie die notwendigen Kenntnisse, Fertigkeiten und Erfahrungen erworben haben.</w:t>
      </w:r>
    </w:p>
    <w:p>
      <w:r>
        <w:t xml:space="preserve">(3) Behinderte Menschen sind zur Abschlussprüfung auch zuzulassen, wenn die Voraussetzungen des Absatz 1 Nummer 2 und 3 nicht vorliegen.</w:t>
      </w:r>
    </w:p>
    <w:p>
      <w:r>
        <w:rPr>
          <w:color w:val="555555"/>
          <w:sz w:val="17"/>
        </w:rPr>
        <w:t xml:space="preserve">Zitiervorschlag: § 8 NW_30069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https://recht.nulegal.eu/gesetze/NW_30069/8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