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NW_30069 (Nordrhein-Westfalen) — Prüfungsunterlagen</w:t>
      </w:r>
    </w:p>
    <w:p>
      <w:r>
        <w:rPr>
          <w:color w:val="555555"/>
          <w:sz w:val="18"/>
        </w:rPr>
        <w:t xml:space="preserve">Prüfungsordnung der Bezirksregierung Düsseldorf für die Durchführung von Abschluss- und Umschulungsprüfungen in dem Ausbildungsberuf Fachangestellte/Fachangestellter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Antrag ist dem Prüfling binnen der gesetzlich vorgeschriebenen Frist zur Einlegung eines Rechtsbehelfs Einsicht in seine Prüfungsunterlagen zu gewähren. Die schriftlichen Prüfungsarbeiten sind ein Jahr, die Niederschriften gemäß § 21 Absatz 3 zehn Jahre aufzubewahren. Die Aufbewahrungsfrist beginnt mit Zugang des Prüfungsbescheides nach § 22 Absatz 1 bzw. § 23 Absatz 1. Der Ablauf der vorgenannten Fristen wird durch das Einlegen eines Rechtsmittels gehemmt.</w:t>
      </w:r>
    </w:p>
    <w:p>
      <w:r>
        <w:rPr>
          <w:color w:val="555555"/>
          <w:sz w:val="17"/>
        </w:rPr>
        <w:t xml:space="preserve">Zitiervorschlag: § 26 NW_30069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https://recht.nulegal.eu/gesetze/NW_30069/26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NW_30069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