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NW_30068 (Nordrhein-Westfalen) — Fälligkeit der Gebühr</w:t>
      </w:r>
    </w:p>
    <w:p>
      <w:r>
        <w:rPr>
          <w:color w:val="555555"/>
          <w:sz w:val="18"/>
        </w:rPr>
        <w:t xml:space="preserve">Gebührenordnung des Landschaftsverbandes Westfalen-Lippe für die Durchführung der Fortbildungsprüfung zum anerkannten Abschluss geprüfte Fachkraft zur Arbeits- und Berufsförderung in Werkstätten für behinderte Menschen in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Gebühr wird mit der Anmeldung zur Prüfung fällig. Widerspruch und Anfechtungsklage gegen die Erhebung der Gebühr haben keine aufschiebende Wirkung.</w:t>
      </w:r>
    </w:p>
    <w:p>
      <w:r>
        <w:rPr>
          <w:color w:val="555555"/>
          <w:sz w:val="17"/>
        </w:rPr>
        <w:t xml:space="preserve">Zitiervorschlag: § 5 NW_30068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