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NW_30067 (Nordrhein-Westfalen) — Geschäftsführung</w:t>
      </w:r>
    </w:p>
    <w:p>
      <w:r>
        <w:rPr>
          <w:color w:val="555555"/>
          <w:sz w:val="18"/>
        </w:rPr>
        <w:t xml:space="preserve">Prüfungsordnung für die Durchführung der Fortbildungsprüfung zum anerkannten Abschluss „Geprüfte Fachkraft zur Arbeits- und Berufsförderung in Werkstätten für behinderte Menschen“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Stelle regelt im Einvernehmen mit dem Prüfungsausschuss dessen Geschäftsführung, insbesondere Einladungen, Protokollführung und Durchführung der Beschlüsse.</w:t>
      </w:r>
    </w:p>
    <w:p>
      <w:r>
        <w:t xml:space="preserve">(2) Die Sitzungsprotokolle sind vom Protokollführenden und vom/von der Vorsitzenden zu unterschreiben. § 21 Abs. 3 der Prüfungsordnung bleibt unberührt.</w:t>
      </w:r>
    </w:p>
    <w:p>
      <w:r>
        <w:rPr>
          <w:color w:val="555555"/>
          <w:sz w:val="17"/>
        </w:rPr>
        <w:t xml:space="preserve">Zitiervorschlag: § 6 NW_30067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https://recht.nulegal.eu/gesetze/NW_30067/6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NW_30067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