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NW_30067 (Nordrhein-Westfalen) — Prüfungszeugnis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bestandener Prüfung erhält der/die Prüfungsteilnehmende von der Fortbildungseinrichtung im Auftrag der zuständigen Stelle zwei Prüfungszeugnisse.</w:t>
      </w:r>
    </w:p>
    <w:p>
      <w:r>
        <w:t xml:space="preserve">(2) Der Inhalt der Zeugnisse richtet sich nach der Anlage 1 und 2 zu § 11 Abs. 3 Prüfungsverordnung.</w:t>
      </w:r>
    </w:p>
    <w:p>
      <w:r>
        <w:t xml:space="preserve">(3) Wurde der/die Prüfungsteilnehmende gemäß § 10 Prüfungsverordnung von der Prüfung befreit, richtet sich der Inhalt des Zeugnisses nach § 11 Abs. 3 Satz 2 Prüfungsverordnung.</w:t>
      </w:r>
    </w:p>
    <w:p>
      <w:r>
        <w:rPr>
          <w:color w:val="555555"/>
          <w:sz w:val="17"/>
        </w:rPr>
        <w:t xml:space="preserve">Zitiervorschlag: § 22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