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NW_30067 (Nordrhein-Westfalen) — Sachliche und örtliche Zuständigkeit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Landschaftsverbände Rheinland und Westfalen-Lippe sind nach § 1 Nr. 1 der Verordnung über die Bestimmung der zuständigen Stelle für die Durchführung der Prüfung zum anerkannten Abschluss „Geprüfte Fachkraft zur Arbeits- und Berufsförderung in Werkstätten für behinderte Menschen“ vom 24. Juni 2002 (BGBl. I S. 2281) in Verbindung mit Artikel 1 § 4 der Sechsten Verordnung zur Änderung des Zweiten Berufsbildungs-Zuständigkeitsverordnung vom 20. Januar 2004 (GV. NRW. S. 105) zuständige Stellen für die Durchführung der Fortbildungsprüfungen.</w:t>
      </w:r>
    </w:p>
    <w:p>
      <w:r>
        <w:t xml:space="preserve">(2) Örtlich zuständig für die Durchführung der Fortbildungsprüfung ist der Landschaftsverband, in dessen Bezirk der/die Prüfungsbewerber/in an einer Maßnahme der Fortbildung im Direktunterricht teilgenommen hat oder, sofern solch eine Teilnahme nicht erfolgte, seinen Wohnsitz hat.</w:t>
      </w:r>
    </w:p>
    <w:p>
      <w:r>
        <w:rPr>
          <w:color w:val="555555"/>
          <w:sz w:val="17"/>
        </w:rPr>
        <w:t xml:space="preserve">Zitiervorschlag: § 1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