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NW_30064 (Nordrhein-Westfalen)</w:t>
      </w:r>
    </w:p>
    <w:p>
      <w:r>
        <w:rPr>
          <w:color w:val="555555"/>
          <w:sz w:val="18"/>
        </w:rPr>
        <w:t xml:space="preserve">HintG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16. März 2010</w:t>
      </w:r>
    </w:p>
    <w:p>
      <w:r>
        <w:t xml:space="preserve">(Artikel 1 des Hinterlegungsgesetzes und Gesetzes zur Änderung</w:t>
      </w:r>
    </w:p>
    <w:p>
      <w:r>
        <w:t xml:space="preserve">landesrechtlicher Vorschriften vom 16. März 2010 (GV. NRW. S. 192))</w:t>
      </w:r>
    </w:p>
    <w:p>
      <w:r>
        <w:t xml:space="preserve">Inhaltsübersicht</w:t>
      </w:r>
    </w:p>
    <w:p>
      <w:r>
        <w:t xml:space="preserve">Teil 1</w:t>
      </w:r>
    </w:p>
    <w:p>
      <w:r>
        <w:t xml:space="preserve">Allgemeine Bestimmungen</w:t>
      </w:r>
    </w:p>
    <w:p>
      <w:r>
        <w:t xml:space="preserve">§ 1 Anwendungsbereich</w:t>
      </w:r>
    </w:p>
    <w:p>
      <w:r>
        <w:t xml:space="preserve">§ 2 Hinterlegungsbehörden</w:t>
      </w:r>
    </w:p>
    <w:p>
      <w:r>
        <w:t xml:space="preserve">§ 3 Hinterlegungsgeschäfte als Justizverwaltungsangelegenheiten</w:t>
      </w:r>
    </w:p>
    <w:p>
      <w:r>
        <w:t xml:space="preserve">§ 4 Abgabe an eine andere Hinterlegungsstelle</w:t>
      </w:r>
    </w:p>
    <w:p>
      <w:r>
        <w:t xml:space="preserve">§ 5 Einsichtsrecht</w:t>
      </w:r>
    </w:p>
    <w:p>
      <w:r>
        <w:t xml:space="preserve">§ 6 Überprüfung von Entscheidungen</w:t>
      </w:r>
    </w:p>
    <w:p>
      <w:r>
        <w:t xml:space="preserve">§ 7 Beteiligte</w:t>
      </w:r>
    </w:p>
    <w:p>
      <w:r>
        <w:t xml:space="preserve">§ 8 Elektronische Akte, elektronisches Dokument</w:t>
      </w:r>
    </w:p>
    <w:p>
      <w:r>
        <w:t xml:space="preserve">Teil 2</w:t>
      </w:r>
    </w:p>
    <w:p>
      <w:r>
        <w:t xml:space="preserve">Begründung des Hinterlegungsverhältnisses</w:t>
      </w:r>
    </w:p>
    <w:p>
      <w:r>
        <w:t xml:space="preserve">§ 9 Hinterlegungsfähige Gegenstände</w:t>
      </w:r>
    </w:p>
    <w:p>
      <w:r>
        <w:t xml:space="preserve">§ 10 Annahme zur Hinterlegung, Hinterlegungsverhältnis</w:t>
      </w:r>
    </w:p>
    <w:p>
      <w:r>
        <w:t xml:space="preserve">§ 11 Hinterlegungsantrag</w:t>
      </w:r>
    </w:p>
    <w:p>
      <w:r>
        <w:t xml:space="preserve">§ 12 Vollziehung der Hinterlegung</w:t>
      </w:r>
    </w:p>
    <w:p>
      <w:r>
        <w:t xml:space="preserve">Teil 3</w:t>
      </w:r>
    </w:p>
    <w:p>
      <w:r>
        <w:t xml:space="preserve">Verwaltung der Hinterlegungsmasse</w:t>
      </w:r>
    </w:p>
    <w:p>
      <w:r>
        <w:t xml:space="preserve">§ 13 Zahlungsmittel</w:t>
      </w:r>
    </w:p>
    <w:p>
      <w:r>
        <w:t xml:space="preserve">§ 14 Verzinsung, Verzinsung in Altfällen</w:t>
      </w:r>
    </w:p>
    <w:p>
      <w:r>
        <w:t xml:space="preserve">§ 15 Wertpapiere, Urkunden, Kostbarkeiten</w:t>
      </w:r>
    </w:p>
    <w:p>
      <w:r>
        <w:t xml:space="preserve">§ 16 Besorgung von Wertpapiergeschäften während der Hinterlegung</w:t>
      </w:r>
    </w:p>
    <w:p>
      <w:r>
        <w:t xml:space="preserve">§ 17 Benachrichtigung des Gläubigers</w:t>
      </w:r>
    </w:p>
    <w:p>
      <w:r>
        <w:t xml:space="preserve">§ 18 Sonstige Benachrichtigungen</w:t>
      </w:r>
    </w:p>
    <w:p>
      <w:r>
        <w:t xml:space="preserve">Teil 4</w:t>
      </w:r>
    </w:p>
    <w:p>
      <w:r>
        <w:t xml:space="preserve">Herausgabe</w:t>
      </w:r>
    </w:p>
    <w:p>
      <w:r>
        <w:t xml:space="preserve">§ 19 Beendigung des Hinterlegungsverhältnisses</w:t>
      </w:r>
    </w:p>
    <w:p>
      <w:r>
        <w:t xml:space="preserve">§ 20 Antrag auf Herausgabe, Nachweis der Berechtigung</w:t>
      </w:r>
    </w:p>
    <w:p>
      <w:r>
        <w:t xml:space="preserve">§ 21 Frist zur Klage</w:t>
      </w:r>
    </w:p>
    <w:p>
      <w:r>
        <w:t xml:space="preserve">§ 22 Genehmigung der Herausgabe</w:t>
      </w:r>
    </w:p>
    <w:p>
      <w:r>
        <w:t xml:space="preserve">§ 23 Vollziehung der Herausgabe, Haftung nach der Herausgabe</w:t>
      </w:r>
    </w:p>
    <w:p>
      <w:r>
        <w:t xml:space="preserve">Teil 5</w:t>
      </w:r>
    </w:p>
    <w:p>
      <w:r>
        <w:t xml:space="preserve">Erlöschen des Anspruchs auf Herausgabe</w:t>
      </w:r>
    </w:p>
    <w:p>
      <w:r>
        <w:t xml:space="preserve">§ 24 Einunddreißigjährige Frist</w:t>
      </w:r>
    </w:p>
    <w:p>
      <w:r>
        <w:t xml:space="preserve">§ 25 Dreißigjährige Frist</w:t>
      </w:r>
    </w:p>
    <w:p>
      <w:r>
        <w:t xml:space="preserve">§ 26 Erneuter Fristbeginn</w:t>
      </w:r>
    </w:p>
    <w:p>
      <w:r>
        <w:t xml:space="preserve">§ 27 Verfall der Hinterlegungsmasse</w:t>
      </w:r>
    </w:p>
    <w:p>
      <w:r>
        <w:t xml:space="preserve">Teil 6</w:t>
      </w:r>
    </w:p>
    <w:p>
      <w:r>
        <w:t xml:space="preserve">Kosten und Übergangsbestimmung</w:t>
      </w:r>
    </w:p>
    <w:p>
      <w:r>
        <w:t xml:space="preserve">§ 28 Gebühren und Auslagen</w:t>
      </w:r>
    </w:p>
    <w:p>
      <w:r>
        <w:t xml:space="preserve">§ 29 Inkrafttreten, Übergangsregelung</w:t>
      </w:r>
    </w:p>
    <w:p>
      <w:r>
        <w:t xml:space="preserve">Teil 1</w:t>
      </w:r>
    </w:p>
    <w:p>
      <w:r>
        <w:t xml:space="preserve">Allgemeine Bestimmungen</w:t>
      </w:r>
    </w:p>
    <w:p>
      <w:r>
        <w:rPr>
          <w:color w:val="555555"/>
          <w:sz w:val="17"/>
        </w:rPr>
        <w:t xml:space="preserve">Zitiervorschlag: Volltext NW_30064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https://recht.nulegal.eu/gesetze/NW_30064/volltext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NW_30064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