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NW_30064 (Nordrhein-Westfalen) — Hinterlegungsfähige Gegenstände</w:t>
      </w:r>
    </w:p>
    <w:p>
      <w:r>
        <w:rPr>
          <w:color w:val="555555"/>
          <w:sz w:val="18"/>
        </w:rPr>
        <w:t xml:space="preserve">HintG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Nach diesem Gesetz können hinterlegt werden</w:t>
      </w:r>
    </w:p>
    <w:p>
      <w:r>
        <w:t xml:space="preserve">1. Geld in Form gesetzlicher oder gesetzlich zugelassener Zahlungsmittel (Geldhinterlegung) oder</w:t>
      </w:r>
    </w:p>
    <w:p>
      <w:r>
        <w:t xml:space="preserve">2. Wertpapierguthaben, Wertpapiere oder sonstige Urkunden, Geldzeichen und Kostbarkeiten (Werthinterlegung).</w:t>
      </w:r>
    </w:p>
    <w:p>
      <w:r>
        <w:t xml:space="preserve">(2) Geld in fremden Währungen kann nur in Form von Geldzeichen hinterlegt werden.</w:t>
      </w:r>
    </w:p>
    <w:p>
      <w:r>
        <w:rPr>
          <w:color w:val="555555"/>
          <w:sz w:val="17"/>
        </w:rPr>
        <w:t xml:space="preserve">Zitiervorschlag: § 9 NW_30064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https://recht.nulegal.eu/gesetze/NW_30064/9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