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NW_30064 (Nordrhein-Westfalen) — Beteiligte</w:t>
      </w:r>
    </w:p>
    <w:p>
      <w:r>
        <w:rPr>
          <w:color w:val="555555"/>
          <w:sz w:val="18"/>
        </w:rPr>
        <w:t xml:space="preserve">HintG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Am Hinterlegungsverfahren ist beteiligt,</w:t>
      </w:r>
    </w:p>
    <w:p>
      <w:r>
        <w:t xml:space="preserve">1. wer die Annahme zur Hinterlegung nach § 11 beantragt (Hinterleger),</w:t>
      </w:r>
    </w:p>
    <w:p>
      <w:r>
        <w:t xml:space="preserve">2. wer vom Hinterleger in dem Antrag nach § 11 oder später schriftlich als möglicher Empfänger bezeichnet wird, oder</w:t>
      </w:r>
    </w:p>
    <w:p>
      <w:r>
        <w:t xml:space="preserve">3. wer in dem Antrag nach § 20 als Empfänger bezeichnet wird.</w:t>
      </w:r>
    </w:p>
    <w:p>
      <w:r>
        <w:t xml:space="preserve">(2) Beteiligt sind ferner Behörden, Notare und Gerichte, die ein Ersuchen an die Hinterlegungsstelle richten.</w:t>
      </w:r>
    </w:p>
    <w:p>
      <w:r>
        <w:rPr>
          <w:color w:val="555555"/>
          <w:sz w:val="17"/>
        </w:rPr>
        <w:t xml:space="preserve">Zitiervorschlag: § 7 NW_30064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https://recht.nulegal.eu/gesetze/NW_30064/7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