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NW_30064 (Nordrhein-Westfalen) — Verfall der Hinterlegungsmasse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dem Erlöschen des Anspruchs auf Herausgabe verfällt die Hinterlegungsmasse dem Land.</w:t>
      </w:r>
    </w:p>
    <w:p>
      <w:r>
        <w:t xml:space="preserve">Teil 6</w:t>
      </w:r>
    </w:p>
    <w:p>
      <w:r>
        <w:t xml:space="preserve">Kosten und Übergangsbestimmung</w:t>
      </w:r>
    </w:p>
    <w:p>
      <w:r>
        <w:rPr>
          <w:color w:val="555555"/>
          <w:sz w:val="17"/>
        </w:rPr>
        <w:t xml:space="preserve">Zitiervorschlag: § 27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