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NW_30064 (Nordrhein-Westfalen) — Vollziehung der Herausgabe, Haftung nach der Herausgabe</w:t>
      </w:r>
    </w:p>
    <w:p>
      <w:r>
        <w:rPr>
          <w:color w:val="555555"/>
          <w:sz w:val="18"/>
        </w:rPr>
        <w:t xml:space="preserve">HintG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Herausgabe des hinterlegten Gegenstandes wird vollzogen</w:t>
      </w:r>
    </w:p>
    <w:p>
      <w:r>
        <w:t xml:space="preserve">1. bei Geldsummen durch Gutschrift des Betrags auf einem Konto des Empfängers oder durch Auszahlung der Hinterlegungskasse,</w:t>
      </w:r>
    </w:p>
    <w:p>
      <w:r>
        <w:t xml:space="preserve">2. bei Wertpapierguthaben durch Übertragung auf ein Depotkonto des Empfängers oder</w:t>
      </w:r>
    </w:p>
    <w:p>
      <w:r>
        <w:t xml:space="preserve">3. im Übrigen durch Übergabe.</w:t>
      </w:r>
    </w:p>
    <w:p>
      <w:r>
        <w:t xml:space="preserve">(2) Das Land ist in den Fällen des Absatzes 1 Nummer 3 nicht zur Herausgabe an einer anderen Stelle als der verpflichtet, bei der die Verwahrung erfolgt.</w:t>
      </w:r>
    </w:p>
    <w:p>
      <w:r>
        <w:t xml:space="preserve">(3) Nach der Herausgabe kann das Land nur aufgrund der Vorschriften über die Haftung für Amtspflichtverletzungen der Justizbeamten in Anspruch genommen werden.</w:t>
      </w:r>
    </w:p>
    <w:p>
      <w:r>
        <w:t xml:space="preserve">Teil 5</w:t>
      </w:r>
    </w:p>
    <w:p>
      <w:r>
        <w:t xml:space="preserve">Erlöschen des Anspruchs auf Herausgabe</w:t>
      </w:r>
    </w:p>
    <w:p>
      <w:r>
        <w:rPr>
          <w:color w:val="555555"/>
          <w:sz w:val="17"/>
        </w:rPr>
        <w:t xml:space="preserve">Zitiervorschlag: § 23 NW_30064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https://recht.nulegal.eu/gesetze/NW_30064/23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