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NW_30064 (Nordrhein-Westfalen) — Frist zur Klage</w:t>
      </w:r>
    </w:p>
    <w:p>
      <w:r>
        <w:rPr>
          <w:color w:val="555555"/>
          <w:sz w:val="18"/>
        </w:rPr>
        <w:t xml:space="preserve">HintG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 Antrag auf Herausgabe gestellt, kann die Hinterlegungsstelle Beteiligten, welche die Herausgabe nicht bewilligt und auch die Empfangsberechtigung nicht anerkannt haben, eine Frist von mindestens einem Monat setzen, binnen deren sie ihr die Erhebung der Klage wegen ihrer Ansprüche nachzuweisen haben. Sie soll jedoch von dieser Möglichkeit nur Gebrauch machen, wenn es unbillig wäre, von dem Antragsteller weitere Nachweise zu verlangen.</w:t>
      </w:r>
    </w:p>
    <w:p>
      <w:r>
        <w:t xml:space="preserve">(2) Die Bestimmung der Frist ist dem, der die Herausgabe beantragt hat, und den Personen, an die sie sich richtet, nach den Vorschriften der Zivilprozessordnung über die Zustellung von Amts wegen bekanntzugeben. Sie unterliegt der Beschwerde, die binnen zwei Wochen seit dem Zeitpunkt der Zustellung bei der Hinterlegungsstelle einzulegen ist. Die Hinterlegungsstelle ist auf die Beschwerde hin zu einer Änderung ihrer Entscheidung befugt. Hilft sie nicht ab, hat sie die Beschwerde dem Land- oder Amtsgerichtspräsidenten vorzulegen.</w:t>
      </w:r>
    </w:p>
    <w:p>
      <w:r>
        <w:t xml:space="preserve">(3) Die Entscheidung des Land- oder Amtsgerichtspräsidenten ist nach Absatz 2 Satz 1 bekanntzugeben. Eine weitere Beschwerde ist nicht zulässig. § 6 Absatz 2 bleibt unberührt.</w:t>
      </w:r>
    </w:p>
    <w:p>
      <w:r>
        <w:t xml:space="preserve">(4) Eine verspätet eingelegte Beschwerde kann, solange noch nicht herausgegeben ist, von dem Land- oder Amtsgerichtspräsidenten zugelassen werden.</w:t>
      </w:r>
    </w:p>
    <w:p>
      <w:r>
        <w:t xml:space="preserve">(5) Die Frist nach Absatz 1 beginnt mit der Rechtskraft der sie bestimmenden Verfügung. Nach Ablauf dieser Frist gilt die Herausgabe als bewilligt, wenn nicht inzwischen der Hinterlegungsstelle die Erhebung der Klage nachgewiesen ist.</w:t>
      </w:r>
    </w:p>
    <w:p>
      <w:r>
        <w:rPr>
          <w:color w:val="555555"/>
          <w:sz w:val="17"/>
        </w:rPr>
        <w:t xml:space="preserve">Zitiervorschlag: § 21 NW_30064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