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NW_30064 (Nordrhein-Westfalen) — Hinterlegungsbehörden</w:t>
      </w:r>
    </w:p>
    <w:p>
      <w:r>
        <w:rPr>
          <w:color w:val="555555"/>
          <w:sz w:val="18"/>
        </w:rPr>
        <w:t xml:space="preserve">HintG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Hinterlegungsgeschäfte werden von den Amtsgerichten als Hinterlegungsstellen und der Zentralen Zahlstelle Justiz als Hinterlegungskasse wahrgenommen.</w:t>
      </w:r>
    </w:p>
    <w:p>
      <w:r>
        <w:t xml:space="preserve">(2) Die Landesjustizverwaltung wird ermächtigt, durch Rechtsverordnung ein Amtsgericht als Hinterlegungsstelle für die Bezirke mehrerer Amtsgerichte zu bestimmen.</w:t>
      </w:r>
    </w:p>
    <w:p>
      <w:r>
        <w:rPr>
          <w:color w:val="555555"/>
          <w:sz w:val="17"/>
        </w:rPr>
        <w:t xml:space="preserve">Zitiervorschlag: § 2 NW_30064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