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NW_30064 (Nordrhein-Westfalen) — Beendigung des Hinterlegungsverhältnisses</w:t>
      </w:r>
    </w:p>
    <w:p>
      <w:r>
        <w:rPr>
          <w:color w:val="555555"/>
          <w:sz w:val="18"/>
        </w:rPr>
        <w:t xml:space="preserve">HintG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Hinterlegungsverhältnis endet, sobald die Hinterlegungsstelle die Herausgabe des Gegenstandes angeordnet hat und dessen Herausgabe nach § 23 Absatz 1 vollzogen ist.</w:t>
      </w:r>
    </w:p>
    <w:p>
      <w:r>
        <w:t xml:space="preserve">(2) Die Hinterlegungsstelle ordnet die Herausgabe an</w:t>
      </w:r>
    </w:p>
    <w:p>
      <w:r>
        <w:t xml:space="preserve">1. auf Antrag der Person, die ihre Berechtigung zum Empfang der Hinterlegungsmasse nachweist, oder</w:t>
      </w:r>
    </w:p>
    <w:p>
      <w:r>
        <w:t xml:space="preserve">2. auf Ersuchen der zuständigen Behörde oder eines Gerichts.</w:t>
      </w:r>
    </w:p>
    <w:p>
      <w:r>
        <w:t xml:space="preserve">(3) Ergeben sich in den Fällen des Absatzes 2 Nummer 2 Bedenken gegen die Berechtigung des Empfängers, die die ersuchende Stelle nicht berücksichtigt hat, sind ihr diese mitzuteilen. Hält die ersuchende Stelle ihr Ersuchen gleichwohl aufrecht, ist ihm stattzugeben.</w:t>
      </w:r>
    </w:p>
    <w:p>
      <w:r>
        <w:t xml:space="preserve">(4) Kann die Herausgabeanordnung nicht ausgeführt werden, weil der Empfänger die Annahme verweigert hat oder weil die Sendung als unzustellbar zurückkommt, hat die Hinterlegungsstelle eine neue Annahmeanordnung zu erlassen.</w:t>
      </w:r>
    </w:p>
    <w:p>
      <w:r>
        <w:t xml:space="preserve">(5) Die Hinterlegungsstelle kann die Herausgabeanordnung aufheben, wenn nach ihrem Erlass Umstände bekannt werden, die ihrer Ausführung entgegenstehen.</w:t>
      </w:r>
    </w:p>
    <w:p>
      <w:r>
        <w:rPr>
          <w:color w:val="555555"/>
          <w:sz w:val="17"/>
        </w:rPr>
        <w:t xml:space="preserve">Zitiervorschlag: § 19 NW_30064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https://recht.nulegal.eu/gesetze/NW_30064/19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