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NW_30064 (Nordrhein-Westfalen) — Sonstige Benachrichtigungen</w:t>
      </w:r>
    </w:p>
    <w:p>
      <w:r>
        <w:rPr>
          <w:color w:val="555555"/>
          <w:sz w:val="18"/>
        </w:rPr>
        <w:t xml:space="preserve">HintG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Hinterlegungsstelle benachrichtigt von</w:t>
      </w:r>
    </w:p>
    <w:p>
      <w:r>
        <w:t xml:space="preserve">1. der Hinterlegung eines Sparbuchs den Aussteller des Sparbuchs,</w:t>
      </w:r>
    </w:p>
    <w:p>
      <w:r>
        <w:t xml:space="preserve">2. einer Hinterlegung für unbekannte Erben das zuständige Nachlassgericht, wenn aus den Hinterlegungsakten nicht ersichtlich ist, dass dem Nachlassgericht die Hinterlegung bereits bekannt ist,</w:t>
      </w:r>
    </w:p>
    <w:p>
      <w:r>
        <w:t xml:space="preserve">3. der Hinterlegung für Minderjährige das zuständige Familiengericht, wenn die Hinterlegung nicht im Zusammenhang mit einem Rechtstreit steht oder auf Anordnung des Familiengerichts beruht,</w:t>
      </w:r>
    </w:p>
    <w:p>
      <w:r>
        <w:t xml:space="preserve">4. der Hinterlegung für Betreute oder im Rahmen eines Betreuungsverfahrens das zuständige Betreuungsgericht, wenn die Hinterlegung nicht auf Anordnung des Betreuungsgerichts beruht, und</w:t>
      </w:r>
    </w:p>
    <w:p>
      <w:r>
        <w:t xml:space="preserve">5. der Hinterlegung einer Sicherheit nach den Vorschriften der Strafprozessordnung in der Fassung der Bekanntmachung vom 7. April 1987 (BGBl. I S. 1074, 1319) in der jeweils geltenden Fassung die zuständige Staatsanwaltschaft.</w:t>
      </w:r>
    </w:p>
    <w:p>
      <w:r>
        <w:t xml:space="preserve">(2) In den Fällen der Hinterlegung des Bargebots im Versteigerungsverfahren nach § 49 Absatz 4 des Gesetzes über die Zwangsversteigerung und die Zwangsverwaltung in der im Bundesgesetzblatt Teil III, Gliederungsnummer 310-14, veröffentlichten bereinigten Fassung, das zuletzt durch Artikel 9 des Gesetzes vom 24. Mai 2016 (BGBl. I S. 1217) geändert worden ist, benachrichtigt die Hinterlegungskasse das zuständige Vollstreckungsgericht von der Vollziehung der Hinterlegung des Bargebots.</w:t>
      </w:r>
    </w:p>
    <w:p>
      <w:r>
        <w:t xml:space="preserve">(3) In den Benachrichtigungen nach Absatz 1 und Absatz 2 werden die Namen, die Firma sowie die Anschrift der Beteiligten und im Fall des Absatzes 1 Nummer 2 zusätzlich den Namen, die letzte Anschrift und das Sterbedatum des Erblassers mitgeteilt.</w:t>
      </w:r>
    </w:p>
    <w:p>
      <w:r>
        <w:t xml:space="preserve">Teil 4</w:t>
      </w:r>
    </w:p>
    <w:p>
      <w:r>
        <w:t xml:space="preserve">Herausgabe</w:t>
      </w:r>
    </w:p>
    <w:p>
      <w:r>
        <w:rPr>
          <w:color w:val="555555"/>
          <w:sz w:val="17"/>
        </w:rPr>
        <w:t xml:space="preserve">Zitiervorschlag: § 18 NW_30064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https://recht.nulegal.eu/gesetze/NW_30064/18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