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NW_30064 (Nordrhein-Westfalen) — Benachrichtigung des Gläubigers</w:t>
      </w:r>
    </w:p>
    <w:p>
      <w:r>
        <w:rPr>
          <w:color w:val="555555"/>
          <w:sz w:val="18"/>
        </w:rPr>
        <w:t xml:space="preserve">HintG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zur Befreiung eines Schuldners von seiner Verbindlichkeit hinterlegt, soll die Hinterlegungsstelle den Schuldner unter Bezugnahme auf § 382 des Bürgerlichen Gesetzbuchs zu dem Nachweis auffordern, dass und wann der Gläubiger die in § 374 Absatz 2 des Bürgerlichen Gesetzbuchs vorgeschriebene Anzeige von der Hinterlegung empfangen hat. Führt der Schuldner den Nachweis nicht innerhalb von drei Monaten nach der Aufforderung, ist die Hinterlegungsstelle ermächtigt, in seinem Namen und auf seine Kosten dem Gläubiger die Anzeige zu machen; die Aufforderung muss einen Hinweis auf diese Rechtsfolge enthalten. Für die Anzeige der Hinterlegungsstelle gilt § 374 Absatz 2 Satz 2 des Bürgerlichen Gesetzbuches, das zuletzt durch Artikel 7 des Gesetzes vom 31. Januar 2019 (BGBl. I S. 54) geändert worden ist, entsprechend.</w:t>
      </w:r>
    </w:p>
    <w:p>
      <w:r>
        <w:t xml:space="preserve">(2) Die Aufforderung an den Schuldner soll alsbald abgesandt werden. Die Anzeige an den Gläubiger kann die Hinterlegungsstelle bis zum Ablauf eines Jahres seit der Hinterlegung aussetzen.</w:t>
      </w:r>
    </w:p>
    <w:p>
      <w:r>
        <w:t xml:space="preserve">(3) Die Aufforderung und die Anzeige sind nach den für die Zustellung von Amts wegen geltenden Vorschriften der Zivilprozessordnung bekannt zu machen. Erscheint der Schuldner zur Stellung des Hinterlegungsantrags persönlich, soll ihm die Aufforderung sogleich nach § 173 der Zivilprozessordnung zugestellt werden.</w:t>
      </w:r>
    </w:p>
    <w:p>
      <w:r>
        <w:rPr>
          <w:color w:val="555555"/>
          <w:sz w:val="17"/>
        </w:rPr>
        <w:t xml:space="preserve">Zitiervorschlag: § 17 NW_30064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https://recht.nulegal.eu/gesetze/NW_30064/17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