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NW_30064 (Nordrhein-Westfalen) — Zahlungsmittel</w:t>
      </w:r>
    </w:p>
    <w:p>
      <w:r>
        <w:rPr>
          <w:color w:val="555555"/>
          <w:sz w:val="18"/>
        </w:rPr>
        <w:t xml:space="preserve">HintG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Gesetzliche und gesetzlich zugelassene Zahlungsmittel gehen in das Eigentum des Landes über.</w:t>
      </w:r>
    </w:p>
    <w:p>
      <w:r>
        <w:t xml:space="preserve">(2) Andere Zahlungsmittel werden unverändert aufbewahrt. Sie können mit Zustimmung der Beteiligten in gesetzliche oder gesetzlich zugelassene Zahlungsmittel umgewechselt werden. Der Reinerlös geht in das Eigentum des Landes über.</w:t>
      </w:r>
    </w:p>
    <w:p>
      <w:r>
        <w:rPr>
          <w:color w:val="555555"/>
          <w:sz w:val="17"/>
        </w:rPr>
        <w:t xml:space="preserve">Zitiervorschlag: § 13 NW_30064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