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NW_30064 (Nordrhein-Westfalen) — Vollziehung der Hinterlegung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Hinterlegung wird vollzogen:</w:t>
      </w:r>
    </w:p>
    <w:p>
      <w:r>
        <w:t xml:space="preserve">1. bei Geldsummen durch Gutschrift auf einem von der Hinterlegungsstelle bezeichneten Konto bei der Hinterlegungskasse oder in Eilfällen durch Barzahlung bei einer zuständigen Zahlstelle,</w:t>
      </w:r>
    </w:p>
    <w:p>
      <w:r>
        <w:t xml:space="preserve">2. bei Wertpapierguthaben durch Buchung auf einem von der Hinterlegungsstelle bezeichneten Depotkonto und</w:t>
      </w:r>
    </w:p>
    <w:p>
      <w:r>
        <w:t xml:space="preserve">3. bei anderen Gegenständen oder Urkunden durch Übergabe an die Hinterlegungskasse.</w:t>
      </w:r>
    </w:p>
    <w:p>
      <w:r>
        <w:t xml:space="preserve">Teil 3</w:t>
      </w:r>
    </w:p>
    <w:p>
      <w:r>
        <w:t xml:space="preserve">Verwaltung der Hinterlegungsmasse</w:t>
      </w:r>
    </w:p>
    <w:p>
      <w:r>
        <w:rPr>
          <w:color w:val="555555"/>
          <w:sz w:val="17"/>
        </w:rPr>
        <w:t xml:space="preserve">Zitiervorschlag: § 12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