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NW_30064 (Nordrhein-Westfalen) — Annahme zur Hinterlegung, Hinterlegungsverhältnis</w:t>
      </w:r>
    </w:p>
    <w:p>
      <w:r>
        <w:rPr>
          <w:color w:val="555555"/>
          <w:sz w:val="18"/>
        </w:rPr>
        <w:t xml:space="preserve">HintG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Hinterlegungsverhältnis kommt zustande, sobald die Hinterlegungsstelle die Annahme des Gegenstandes angeordnet hat und dessen Hinterlegung nach § 12 vollzogen ist.</w:t>
      </w:r>
    </w:p>
    <w:p>
      <w:r>
        <w:t xml:space="preserve">(2) Die Hinterlegungsstelle ordnet die Annahme zur Hinterlegung an</w:t>
      </w:r>
    </w:p>
    <w:p>
      <w:r>
        <w:t xml:space="preserve">1. auf einen Antrag gemäß § 11 oder</w:t>
      </w:r>
    </w:p>
    <w:p>
      <w:r>
        <w:t xml:space="preserve">2. auf Ersuchen der zuständigen Behörde oder eines Gerichts.</w:t>
      </w:r>
    </w:p>
    <w:p>
      <w:r>
        <w:t xml:space="preserve">(3) Der Hinterleger ist von dem Erlass der Annahmeanordnung zu benachrichtigen, sofern nicht bereits eingezahlt oder eingeliefert worden ist.</w:t>
      </w:r>
    </w:p>
    <w:p>
      <w:r>
        <w:t xml:space="preserve">(4) Wird die Hinterlegung nicht binnen einer bei der Benachrichtigung nach Absatz 3 von der Hinterlegungsstelle zu bestimmenden Frist nach § 12 vollzogen, so wird die Annahmeanordnung gegenstandslos. Hierauf ist in der Benachrichtigung nach Absatz 3 hinzuweisen.</w:t>
      </w:r>
    </w:p>
    <w:p>
      <w:r>
        <w:rPr>
          <w:color w:val="555555"/>
          <w:sz w:val="17"/>
        </w:rPr>
        <w:t xml:space="preserve">Zitiervorschlag: § 10 NW_30064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https://recht.nulegal.eu/gesetze/NW_30064/10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