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NW_30043 (Nordrhein-Westfalen)</w:t>
      </w:r>
    </w:p>
    <w:p>
      <w:r>
        <w:rPr>
          <w:color w:val="555555"/>
          <w:sz w:val="18"/>
        </w:rPr>
        <w:t xml:space="preserve">Verordnung zur Regelung von Zuständigkeiten auf dem Gebiet des energiebedingten Klimaschutzes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Natur, Umwelt und Verbraucherschutz ist zuständige Behörde für die Ausführung</w:t>
      </w:r>
    </w:p>
    <w:p>
      <w:r>
        <w:t xml:space="preserve">1. des Energieverbrauchsrelevante Produkte Gesetzes vom 27. Februar 2008 (BGBl. I S. 258) in der jeweils geltenden Fassung,</w:t>
      </w:r>
    </w:p>
    <w:p>
      <w:r>
        <w:t xml:space="preserve">2. des Energieverbrauchskennzeichnungsgesetzes vom 10. Mai 2012 (BGBl. I S. 1070) in der jeweils geltenden Fassung,</w:t>
      </w:r>
    </w:p>
    <w:p>
      <w:r>
        <w:t xml:space="preserve">3. der Energieverbrauchskennzeichnungsverordnung vom 30. Oktober 1997 (BGBl. I S. 2616) in der jeweils geltenden Fassung,</w:t>
      </w:r>
    </w:p>
    <w:p>
      <w:r>
        <w:t xml:space="preserve">4. der PKW-Energieverbrauchskennzeichnungsverordnung vom 28. Mai 2004 (BGBl. I S. 1037) in der jeweils geltenden Fassung und</w:t>
      </w:r>
    </w:p>
    <w:p>
      <w:r>
        <w:t xml:space="preserve">5. der EU-Verordnung 1222/2009 über die Kennzeichnung von Reifen in Bezug auf die Kraftstoffeffizienz und andere wesentliche Parameter (ABl. L 342 22.12.2009, S. 46).</w:t>
      </w:r>
    </w:p>
    <w:p>
      <w:r>
        <w:rPr>
          <w:color w:val="555555"/>
          <w:sz w:val="17"/>
        </w:rPr>
        <w:t xml:space="preserve">Zitiervorschlag: § 2 NW_30043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https://recht.nulegal.eu/gesetze/NW_30043/2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