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NW_30040 (Nordrhein-Westfalen) — Zuständige Behörden nach § 5 des Carsharinggesetzes</w:t>
      </w:r>
    </w:p>
    <w:p>
      <w:r>
        <w:rPr>
          <w:color w:val="555555"/>
          <w:sz w:val="18"/>
        </w:rPr>
        <w:t xml:space="preserve">Verordnung zur Regelung von Zuständigkeiten nach dem Straßenrecht und Eisenbahnkreuzungsrecht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nach § 5 Absatz 1 Satz 1 und 2, Absatz 2 Satz 1 und Absatz 7 Satz 1 und 2 des Carsharinggesetzes vom 5. Juli 2017 (BGBl. I S. 2230) ist die Gemeinde.</w:t>
      </w:r>
    </w:p>
    <w:p>
      <w:r>
        <w:t xml:space="preserve">(2) Straßenbaubehörde im Sinne des § 5 Absatz 1 Satz 2 des Carsharinggesetzes ist der Landesbetrieb Straßenbau Nordrhein-Westfalen.</w:t>
      </w:r>
    </w:p>
    <w:p>
      <w:r>
        <w:rPr>
          <w:color w:val="555555"/>
          <w:sz w:val="17"/>
        </w:rPr>
        <w:t xml:space="preserve">Zitiervorschlag: § 7 NW_30040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https://recht.nulegal.eu/gesetze/NW_30040/7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