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NW_30040 (Nordrhein-Westfalen) — Bestimmung des Amtsblatts zur Bekanntmachung von Widmungs-, Umstufungs- und Einziehungsverfügungen</w:t>
      </w:r>
    </w:p>
    <w:p>
      <w:r>
        <w:rPr>
          <w:color w:val="555555"/>
          <w:sz w:val="18"/>
        </w:rPr>
        <w:t xml:space="preserve">Verordnung zur Regelung von Zuständigkeiten nach dem Straßenrecht und Eisenbahnkreuzungsrecht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Bekanntmachungen gemäß § 2 Absatz 6 Satz 6 Bundesfernstraßengesetz erfolgen in dem Amtsblatt der örtlich zuständigen Bezirksregierung.</w:t>
      </w:r>
    </w:p>
    <w:p>
      <w:r>
        <w:rPr>
          <w:color w:val="555555"/>
          <w:sz w:val="17"/>
        </w:rPr>
        <w:t xml:space="preserve">Zitiervorschlag: § 4 NW_30040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https://recht.nulegal.eu/gesetze/NW_30040/4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