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NW_30040 (Nordrhein-Westfalen) — Anträge auf Berichtigung des Grundbuchs bei Wechsel der Straßenbaulast</w:t>
      </w:r>
    </w:p>
    <w:p>
      <w:r>
        <w:rPr>
          <w:color w:val="555555"/>
          <w:sz w:val="18"/>
        </w:rPr>
        <w:t xml:space="preserve">Verordnung zur Regelung von Zuständigkeiten nach dem Straßenrecht und Eisenbahnkreuzungsrecht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Anträge gemäß § 6 Absatz 3 Bundesfernstraßengesetz sind von der für den neuen Träger der Straßenbaulast zuständigen Behörde zu stellen, soweit die Straßenbaulast nicht durch die Autobahn GmbH des Bundes wahrgenommen wird.</w:t>
      </w:r>
    </w:p>
    <w:p>
      <w:r>
        <w:rPr>
          <w:color w:val="555555"/>
          <w:sz w:val="17"/>
        </w:rPr>
        <w:t xml:space="preserve">Zitiervorschlag: § 3 NW_30040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