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NW_30039 (Nordrhein-Westfalen) — Inkrafttreten</w:t>
      </w:r>
    </w:p>
    <w:p>
      <w:r>
        <w:rPr>
          <w:color w:val="555555"/>
          <w:sz w:val="18"/>
        </w:rPr>
        <w:t xml:space="preserve">Satzung der Landesanstalt für Medien Nordrhein-Westfalen (LfM) über die Erhebung von Verwaltungsgebühren und Auslagen - Gebührensatzung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mit dem Tag nach ihrer Bekanntmachung in Kraft.</w:t>
      </w:r>
    </w:p>
    <w:p>
      <w:r>
        <w:t xml:space="preserve">Gleichzeitig tritt die Satzung der Landesanstalt für Medien Nordrhein-Westfalen (LfM) über die Erhebung von Verwaltungsgebühren und Auslagen (Gebühren- und Auslagensatzung) vom 12. Dezember 2003(GV. NRW. 2004 S.2), zuletzt geändert durch die Erste Satzung zur Änderung der Satzung der Landesanstalt für Medien Nordrhein-Westfalen (LfM) über die Erhebung von Verwaltungsgebühren und Auslagen (Gebühren- und Auslagensatzung) – Erste Änderungssatzung – vom 15. Oktober 2004 (GV. NRW. S.612), außer Kraft.</w:t>
      </w:r>
    </w:p>
    <w:p>
      <w:r>
        <w:t xml:space="preserve">Düsseldorf, den 22. Januar 2010</w:t>
      </w:r>
    </w:p>
    <w:p>
      <w:r>
        <w:t xml:space="preserve">Der Direktor</w:t>
      </w:r>
    </w:p>
    <w:p>
      <w:r>
        <w:t xml:space="preserve">der Landesanstalt für Medien</w:t>
      </w:r>
    </w:p>
    <w:p>
      <w:r>
        <w:t xml:space="preserve">Nordrhein-Westfalen (LfM)</w:t>
      </w:r>
    </w:p>
    <w:p>
      <w:r>
        <w:t xml:space="preserve">Prof. Dr. Norbert S c h n e i d e r</w:t>
      </w:r>
    </w:p>
    <w:p>
      <w:r>
        <w:rPr>
          <w:color w:val="555555"/>
          <w:sz w:val="17"/>
        </w:rPr>
        <w:t xml:space="preserve">Zitiervorschlag: § 12 NW_30039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https://recht.nulegal.eu/gesetze/NW_30039/12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