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NW_30039 (Nordrhein-Westfalen) — Verjährung</w:t>
      </w:r>
    </w:p>
    <w:p>
      <w:r>
        <w:rPr>
          <w:color w:val="555555"/>
          <w:sz w:val="18"/>
        </w:rPr>
        <w:t xml:space="preserve">Satzung der Landesanstalt für Medien Nordrhein-Westfalen (LfM) über die Erhebung von Verwaltungsgebühren und Auslagen - Gebührensatzung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Kostenfestsetzung, ihre Aufhebung oder ihre Änderung ist nicht mehr zulässig, wenn die Festsetzungsfrist abgelaufen ist (Festsetzungsverjährung). Die Festsetzungsfrist beträgt vier Jahre; sie beginnt mit Ablauf des Kalenderjahres, in dem der Kostenanspruch entstanden ist. Wird vor Ablauf der Frist ein Antrag auf Aufhebung oder Änderung der Festsetzung gestellt, ist die Festsetzungsfrist solange gehemmt, bis über den Antrag unanfechtbar entschieden worden ist.</w:t>
      </w:r>
    </w:p>
    <w:p>
      <w:r>
        <w:t xml:space="preserve">(2) Ein festgesetzter Kostenanspruch erlischt durch Verjährung (Zahlungsverjährung). Die Verjährungsfrist beträgt fünf Jahre; sie beginnt mit Ablauf des Kalenderjahres, in dem der Anspruch erstmals fällig geworden ist.</w:t>
      </w:r>
    </w:p>
    <w:p>
      <w:r>
        <w:t xml:space="preserve">(3) Die Zahlungsverjährung wird unterbrochen durch schriftliche Zahlungsaufforderung sowie durch Stundung, Aussetzung der Vollziehung, durch Sicherheitsleistung, durch eine einstweilige Einstellung der Vollstreckung, durch eine Vollstreckungsmaßnahme, durch Anmeldung im Insolvenzverfahren, durch die Aufnahme in einen Insolvenzplan oder einen gesetzlichen Schuldenbereinigungsplan, durch Einbeziehung oder durch Ermittlung der LfM über Wohnsitz oder Aufenthaltsort des Zahlungspflichtigen. Die Unterbrechung der Verjährung durch eine der in Satz 1 genannten Maßnahmen dauert fort, bis die Stundung oder die Aussetzung der Vollziehung abgelaufen, die Sicherheit oder, falls eine Vollstreckungsmaßnahme dazu geführt hat, das Pfändungspfandrecht, die Sicherungshypothek oder ein sonstiges Vorzugsrecht auf Befriedigung erloschen oder das Insolvenzverfahren oder die Ermittlungen beendet sind. Mit Ablauf des Kalenderjahres, in dem die Unterbrechung geendet hat, beginnt eine neue Verjährungsfrist.</w:t>
      </w:r>
    </w:p>
    <w:p>
      <w:r>
        <w:rPr>
          <w:color w:val="555555"/>
          <w:sz w:val="17"/>
        </w:rPr>
        <w:t xml:space="preserve">Zitiervorschlag: § 11 NW_30039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https://recht.nulegal.eu/gesetze/NW_30039/11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