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NW_30039 (Nordrhein-Westfalen) — Rechtsbehelf</w:t>
      </w:r>
    </w:p>
    <w:p>
      <w:r>
        <w:rPr>
          <w:color w:val="555555"/>
          <w:sz w:val="18"/>
        </w:rPr>
        <w:t xml:space="preserve">Satzung der Landesanstalt für Medien Nordrhein-Westfalen (LfM) über die Erhebung von Verwaltungsgebühren und Auslagen - Gebührensatzung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Kostenentscheidung kann zusammen mit der Sachentscheidung oder selbstständig angefochten werden; der Rechtsbehelf gegen eine Sachentscheidung erstreckt sich auch auf die Kostenentscheidung.</w:t>
      </w:r>
    </w:p>
    <w:p>
      <w:r>
        <w:t xml:space="preserve">(2) Wird eine Kostenentscheidung selbstständig angefochten, so ist das Rechtsbehelfsverfahren kostenrechtlich als selbstständiges Verfahren zu behandeln.</w:t>
      </w:r>
    </w:p>
    <w:p>
      <w:r>
        <w:rPr>
          <w:color w:val="555555"/>
          <w:sz w:val="17"/>
        </w:rPr>
        <w:t xml:space="preserve">Zitiervorschlag: § 10 NW_30039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https://recht.nulegal.eu/gesetze/NW_30039/10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