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NW_30035 (Nordrhein-Westfalen) — Innerstaatliche Institution</w:t>
      </w:r>
    </w:p>
    <w:p>
      <w:r>
        <w:rPr>
          <w:color w:val="555555"/>
          <w:sz w:val="18"/>
        </w:rPr>
        <w:t xml:space="preserve">Bekanntmachung des Bilgenentwässerungsverband-Staatsvertrag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verantwortliche innerstaatliche Institution gemäß Art. 9 des Übereinkommens vom 9. September 1996 und Art. 3.01 bis 3.03 Teil A, Kapitel III der Anlage 2 zu dem Übereinkommen vom 9. September 1996 über die Sammlung, Abgabe und Annahme von Abfällen in der Rhein- und Binnenschifffahrt und dem hierzu ergangenen Ausführungsgesetz vom 13. Dezember 2003 (BGBl. I S. 2642) wird der Bilgenentwässerungsverband bestimmt, ein Wasserverband nach dem Gesetz über Wasser- und Bodenverbände (Wasserverbandsgesetz - WVG) mit Sitz in Duisburg. Das Schifffahrtsgewerbe ist in der innerstaatlichen Institution vertreten.</w:t>
      </w:r>
    </w:p>
    <w:p>
      <w:r>
        <w:t xml:space="preserve">(2) Die innerstaatliche Institution hat folgende Aufgaben wahrzunehmen:</w:t>
      </w:r>
    </w:p>
    <w:p>
      <w:r>
        <w:t xml:space="preserve">- Organisation des Systems zur Finanzierung der Annahme und Entsorgung öl- und fetthaltiger Schiffsbetriebsabfälle in der Bundesrepublik Deutschland</w:t>
      </w:r>
    </w:p>
    <w:p>
      <w:r>
        <w:t xml:space="preserve">- Erhebung der Entsorgungsentgelte</w:t>
      </w:r>
    </w:p>
    <w:p>
      <w:r>
        <w:t xml:space="preserve">- Festlegung des Netzes der Annahmestellen (Beauftragung von Entsorgungsunternehmen) auf dem Gebiet der Vertragspartner und Bericht an die internationale Ausgleichs- und Koordinierungsstelle</w:t>
      </w:r>
    </w:p>
    <w:p>
      <w:r>
        <w:t xml:space="preserve">- Regelung zur Einrichtung und zum Betrieb der Annahmestellen</w:t>
      </w:r>
    </w:p>
    <w:p>
      <w:r>
        <w:t xml:space="preserve">- Erfassung der Mengen der entsorgten öl- und fetthaltigen Schiffsbetriebsabfälle und der erhobenen Entsorgungsentgelte</w:t>
      </w:r>
    </w:p>
    <w:p>
      <w:r>
        <w:t xml:space="preserve">- Überwachung der Kosten der Entsorgung</w:t>
      </w:r>
    </w:p>
    <w:p>
      <w:r>
        <w:t xml:space="preserve">- Kontrollen nach Teil A Artikel 3.03 Absätze 2 und 4 der Anlage 2 zum Übereinkommen und</w:t>
      </w:r>
    </w:p>
    <w:p>
      <w:r>
        <w:t xml:space="preserve">- Mitarbeit in der internationalen Ausgleichs- und Koordinierungsstelle und Leistung der von ihr festgestellten Finanzausgleichsbeträge.</w:t>
      </w:r>
    </w:p>
    <w:p>
      <w:r>
        <w:t xml:space="preserve">(3) Zuständigkeiten, die nach dem Übereinkommen vom 9. September 1996 anderen Landesbehörden des jeweiligen Vertragspartners zugewiesen wurden, bleiben unberührt.</w:t>
      </w:r>
    </w:p>
    <w:p>
      <w:r>
        <w:rPr>
          <w:color w:val="555555"/>
          <w:sz w:val="17"/>
        </w:rPr>
        <w:t xml:space="preserve">Zitiervorschlag: Art 1 NW_30035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https://recht.nulegal.eu/gesetze/NW_30035/1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NW_30035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