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NW_30032 (Nordrhein-Westfalen) — Anordnung des Verfahrens über eine einheitliche Stelle; Entscheidungsfrist</w:t>
      </w:r>
    </w:p>
    <w:p>
      <w:r>
        <w:rPr>
          <w:color w:val="555555"/>
          <w:sz w:val="18"/>
        </w:rPr>
        <w:t xml:space="preserve">Verordnung zur Anpassung dienstleistungsrelevanter Verfahren an die EG-Dienstleistungsrichtlinie (Dienstleistungsrichtlinien-Anpassungsverordnung - DLRL-AnpV)1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Soweit nicht anderweitig geregelt, können folgende Verfahren über eine einheitliche Stelle nach den Vorschriften des Verwaltungsverfahrensgesetzes für das Land Nordrhein-Westfalen in der Fassung der Bekanntmachung vom 12. November 1999 (GV. NRW. S. 602) in der jeweils geltenden Fassung abgewickelt werden:</w:t>
      </w:r>
    </w:p>
    <w:p>
      <w:r>
        <w:t xml:space="preserve">1. Verfahren nach § 5 Absatz 1 Satz 3 der Verordnung über Heizkostenabrechnung in der Fassung der Bekanntmachung vom 5. Oktober 2009 (BGBl. I S. 3250) in der jeweils geltenden Fassung,</w:t>
      </w:r>
    </w:p>
    <w:p>
      <w:r>
        <w:t xml:space="preserve">2. Verfahren nach den §§ 30 bis 32 sowie den §§ 54 und 55 der Mess- und Eichverordnung vom 11. Dezember 2014 (BGBl. I S. 2010, 2011) in der jeweils geltenden Fassung,</w:t>
      </w:r>
    </w:p>
    <w:p>
      <w:r>
        <w:t xml:space="preserve">3. Verfahren nach § 6 Absatz 2 des Psychotherapeutengesetzes vom 16. Juni 1998 (BGBl. I S. 1311) in der jeweils geltenden Fassung und</w:t>
      </w:r>
    </w:p>
    <w:p>
      <w:r>
        <w:t xml:space="preserve">4. Verfahren nach § 3 Absatz 3 der Lösemittelhaltige Farben- und Lack-Verordnung vom 16. Dezember 2004 (BGBl. I S. 3508) in der jeweils geltenden Fassung.</w:t>
      </w:r>
    </w:p>
    <w:p>
      <w:r>
        <w:t xml:space="preserve">(2) Für die in Absatz 1 genannten Verfahren gilt vorbehaltlich anderweitiger Regelung eine Entscheidungsfrist von drei Monaten. § 42a Absatz 2 Satz 2 bis 4 des Verwaltungsverfahrensgesetzes für das Land Nordrhein-Westfalen gilt entsprechend.</w:t>
      </w:r>
    </w:p>
    <w:p>
      <w:r>
        <w:rPr>
          <w:color w:val="555555"/>
          <w:sz w:val="17"/>
        </w:rPr>
        <w:t xml:space="preserve">Zitiervorschlag: § 1 NW_30032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https://recht.nulegal.eu/gesetze/NW_30032/1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