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NW_30018 (Nordrhein-Westfalen) — Inkrafttreten</w:t>
      </w:r>
    </w:p>
    <w:p>
      <w:r>
        <w:rPr>
          <w:color w:val="555555"/>
          <w:sz w:val="18"/>
        </w:rPr>
        <w:t xml:space="preserve">VAP 2.1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Diese Verordnung tritt am 1. Januar 2010 in Kraft.</w:t>
      </w:r>
    </w:p>
    <w:p>
      <w:r>
        <w:rPr>
          <w:color w:val="555555"/>
          <w:sz w:val="17"/>
        </w:rPr>
        <w:t xml:space="preserve">Zitiervorschlag: § 34 NW_30018 (Nordrhein-Westfalen)</w:t>
      </w:r>
    </w:p>
    <w:p>
      <w:r>
        <w:rPr>
          <w:color w:val="555555"/>
          <w:sz w:val="17"/>
        </w:rPr>
        <w:t xml:space="preserve">Quelle: nrwrecht, abgerufen 02.09.2026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https://recht.nulegal.eu/gesetze/NW_30018/34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