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NW_30017 (Nordrhein-Westfalen) — Inkrafttreten, Außerkrafttreten, Veröffentlichung der Anlagen</w:t>
      </w:r>
    </w:p>
    <w:p>
      <w:r>
        <w:rPr>
          <w:color w:val="555555"/>
          <w:sz w:val="18"/>
        </w:rPr>
        <w:t xml:space="preserve">WBVO-Pflege-NRW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Tage nach der Verkündung in Kraft und am 31. Dezember 2027 außer Kraft.</w:t>
      </w:r>
    </w:p>
    <w:p>
      <w:r>
        <w:t xml:space="preserve">(2) Von einem Abdruck der Anlagen 2 bis 10 wurde abgesehen; die verbindlichen Anlagen sind nur in der elektronischen Version des entsprechenden Gesetz- und Verordnungsblattes des Landes Nordrhein-Westfalen(GV. NRW.) und in der Sammlung aller geltenden Gesetze und Verordnungen des Landes Nordrhein-Westfalen(SGV. NRW.) veröffentlicht (http://sgv.im.nrw.de).</w:t>
      </w:r>
    </w:p>
    <w:p>
      <w:r>
        <w:t xml:space="preserve">Der Minister</w:t>
      </w:r>
    </w:p>
    <w:p>
      <w:r>
        <w:t xml:space="preserve">für Arbeit, Gesundheit und Soziales</w:t>
      </w:r>
    </w:p>
    <w:p>
      <w:r>
        <w:t xml:space="preserve">des Landes Nordrhein-Westfalen</w:t>
      </w:r>
    </w:p>
    <w:p>
      <w:r>
        <w:t xml:space="preserve">Hinweis:</w:t>
      </w:r>
    </w:p>
    <w:p>
      <w:r>
        <w:t xml:space="preserve">Artikel 12 Absatz 3 des Gesetzes vom 30. Juni 2020 (GV. NRW. S. 650)</w:t>
      </w:r>
    </w:p>
    <w:p>
      <w:r>
        <w:t xml:space="preserve">(3) Artikel 2 Nummer 1, 3 und Nummer 4 Buchstabe b, Artikel 3 Nummer 1 Buchstabe a Doppelbuchstabe aa, Nummer 3 und 4, Artikel 4, Artikel 5 Nummer 1, 2 und Nummer 4 bis 11 sowie Artikel 6 Nummer 1, 2, 4 bis 6, 7 Buchstabe b, Nummer 8 und 9 treten am 1. Januar 2024 in Kraft.</w:t>
      </w:r>
    </w:p>
    <w:p>
      <w:r>
        <w:rPr>
          <w:color w:val="555555"/>
          <w:sz w:val="17"/>
        </w:rPr>
        <w:t xml:space="preserve">Zitiervorschlag: § 45 NW_30017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https://recht.nulegal.eu/gesetze/NW_30017/45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