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NW_30017 (Nordrhein-Westfalen) — Gleichwertigkeit der Weiterbildung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einem anderen Bundesland erteilte Weiterbildungsbezeichnung gilt auch in Nordrhein-Westfalen.</w:t>
      </w:r>
    </w:p>
    <w:p>
      <w:r>
        <w:t xml:space="preserve">(2) Eine außerhalb der Bundesrepublik Deutschland erworbene abgeschlossene Weiterbildung erfüllt die Voraussetzungen nach dieser Verordnung, wenn die Gleichwertigkeit des Weiterbildungsstandes gegeben ist.</w:t>
      </w:r>
    </w:p>
    <w:p>
      <w:r>
        <w:t xml:space="preserve">Teil II</w:t>
      </w:r>
    </w:p>
    <w:p>
      <w:r>
        <w:t xml:space="preserve">Besondere Vorschriften</w:t>
      </w:r>
    </w:p>
    <w:p>
      <w:r>
        <w:t xml:space="preserve">Kapitel 1</w:t>
      </w:r>
    </w:p>
    <w:p>
      <w:r>
        <w:t xml:space="preserve">Intensivpflege und Anästhesie</w:t>
      </w:r>
    </w:p>
    <w:p>
      <w:r>
        <w:rPr>
          <w:color w:val="555555"/>
          <w:sz w:val="17"/>
        </w:rPr>
        <w:t xml:space="preserve">Zitiervorschlag: § 19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