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NW_30017 (Nordrhein-Westfalen) — Übergangsbestimmungen</w:t>
      </w:r>
    </w:p>
    <w:p>
      <w:r>
        <w:rPr>
          <w:color w:val="555555"/>
          <w:sz w:val="18"/>
        </w:rPr>
        <w:t xml:space="preserve">WBVO-Pflege-NRW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vor Inkrafttreten dieser Verordnung begonnene Weiterbildung wird nach den bisher geltenden Vorschriften abgeschlossen.</w:t>
      </w:r>
    </w:p>
    <w:p>
      <w:r>
        <w:rPr>
          <w:color w:val="555555"/>
          <w:sz w:val="17"/>
        </w:rPr>
        <w:t xml:space="preserve">Zitiervorschlag: § 18 NW_30017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https://recht.nulegal.eu/gesetze/NW_30017/18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NW_30017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