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NW_30014 (Nordrhein-Westfalen)</w:t>
      </w:r>
    </w:p>
    <w:p>
      <w:r>
        <w:rPr>
          <w:color w:val="555555"/>
          <w:sz w:val="18"/>
        </w:rPr>
        <w:t xml:space="preserve">Ausführungsgesetz zum Waffengesetz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2010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Der Innenminister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Bauen und Verkehr</w:t>
      </w:r>
    </w:p>
    <w:p>
      <w:r>
        <w:t xml:space="preserve">Die Justizministerin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t xml:space="preserve">Der Minister</w:t>
      </w:r>
    </w:p>
    <w:p>
      <w:r>
        <w:t xml:space="preserve">für Generationen, Familie,</w:t>
      </w:r>
    </w:p>
    <w:p>
      <w:r>
        <w:t xml:space="preserve">Frauen und Integration</w:t>
      </w:r>
    </w:p>
    <w:p>
      <w:r>
        <w:t xml:space="preserve">Der Minister</w:t>
      </w:r>
    </w:p>
    <w:p>
      <w:r>
        <w:t xml:space="preserve">für Bundesangelegenheiten, Europa und Medien</w:t>
      </w:r>
    </w:p>
    <w:p>
      <w:r>
        <w:rPr>
          <w:color w:val="555555"/>
          <w:sz w:val="17"/>
        </w:rPr>
        <w:t xml:space="preserve">Zitiervorschlag: § 2 NW_30014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https://recht.nulegal.eu/gesetze/NW_30014/2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