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NW_30014 (Nordrhein-Westfalen)</w:t>
      </w:r>
    </w:p>
    <w:p>
      <w:r>
        <w:rPr>
          <w:color w:val="555555"/>
          <w:sz w:val="18"/>
        </w:rPr>
        <w:t xml:space="preserve">Ausführungsgesetz zum Waffengesetz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Abweichend von § 48 Absatz 4 des Waffengesetzes vom 11. Oktober 2002 (BGBl. I S. 3970, 4592, 2003 I S. 1957), zuletzt geändert durch das vierte Gesetz zur Änderung des Sprengstoffgesetzes vom 17. Juli 2009 (BGBl. I S. 2062), können in Nordrhein-Westfalen lediglich folgende Verfahren über eine einheitliche Stelle nach den Vorschriften des Verwaltungsverfahrensgesetzes abgewickelt werden:</w:t>
      </w:r>
    </w:p>
    <w:p>
      <w:r>
        <w:t xml:space="preserve">1. Erwerb und Besitz von Schusswaffen oder Munition durch Waffen- oder Munitionssachverständige nach § 18 Absatz 1 Waffengesetz,</w:t>
      </w:r>
    </w:p>
    <w:p>
      <w:r>
        <w:t xml:space="preserve">2. Erlaubnis zur gewerbsmäßigen Waffenherstellung und zum gewerbsmäßigen Waffenhandel nach §§ 21 Absatz 1, 21a Waffengesetz und</w:t>
      </w:r>
    </w:p>
    <w:p>
      <w:r>
        <w:t xml:space="preserve">3. Anzeigeverfahren beim Überlassen bestimmter Waffen nach § 34 Absatz 2, 4 und 5 Waffengesetz.</w:t>
      </w:r>
    </w:p>
    <w:p>
      <w:r>
        <w:rPr>
          <w:color w:val="555555"/>
          <w:sz w:val="17"/>
        </w:rPr>
        <w:t xml:space="preserve">Zitiervorschlag: § 1 NW_30014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