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NW_30013 (Nordrhein-Westfalen) — Ordnungswidrigkeiten</w:t>
      </w:r>
    </w:p>
    <w:p>
      <w:r>
        <w:rPr>
          <w:color w:val="555555"/>
          <w:sz w:val="18"/>
        </w:rPr>
        <w:t xml:space="preserve">Markscheidergesetz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 vorsätzlich oder fahrlässig, ohne nach § 1 zur Tätigkeit als Markscheider berechtigt zu sein, das Risswerk eines Betriebes nach § 63 Absatz 1 Bundesberggesetz wie ein Markscheider anfertigt oder nachträgt.</w:t>
      </w:r>
    </w:p>
    <w:p>
      <w:r>
        <w:t xml:space="preserve">(2) Die Ordnungswidrigkeit kann mit einer Geldbuße bis zu 10 000 EUR geahndet werden.</w:t>
      </w:r>
    </w:p>
    <w:p>
      <w:r>
        <w:rPr>
          <w:color w:val="555555"/>
          <w:sz w:val="17"/>
        </w:rPr>
        <w:t xml:space="preserve">Zitiervorschlag: § 7 NW_30013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https://recht.nulegal.eu/gesetze/NW_30013/7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