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NW_30013 (Nordrhein-Westfalen) — Anerkennung</w:t>
      </w:r>
    </w:p>
    <w:p>
      <w:r>
        <w:rPr>
          <w:color w:val="555555"/>
          <w:sz w:val="18"/>
        </w:rPr>
        <w:t xml:space="preserve">Markscheidergesetz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Tätigkeit, die nach dem Bundesberggesetz vom 13. August 1980 (BGBl. I S. 1310), das zuletzt durch Artikel 4 Absatz 71 des Gesetzes vom 7. August 2013 (BGBl. I S. 3154) geändert worden ist, oder einer aufgrund dieses Gesetzes erlassenen Rechtsverordnung Markscheidern vorbehalten ist, darf nur ausüben, wer durch die zuständige Behörde als Markscheider anerkannt ist.</w:t>
      </w:r>
    </w:p>
    <w:p>
      <w:r>
        <w:t xml:space="preserve">(2) Einer Anerkennung nach Absatz 1 bedarf nicht, wer in einem anderen Land der Bundesrepublik Deutschland als Markscheider anerkannt ist.</w:t>
      </w:r>
    </w:p>
    <w:p>
      <w:r>
        <w:rPr>
          <w:color w:val="555555"/>
          <w:sz w:val="17"/>
        </w:rPr>
        <w:t xml:space="preserve">Zitiervorschlag: § 1 NW_30013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