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NW_30000 (Nordrhein-Westfalen) — Abwesenheitsvertretung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Mitglieder des Klinikvorstandes ist je ein Vertreter/eine Vertreterin aus dem Kreis der Abteilungsleiter/Abteilungsleiterinnen des jeweiligen speziellen Verantwortungsbereichs zu bestellen. Im Falle der Verhinderung des Vorstandsmitgliedes nimmt die Vertreterin/der Vertreter seine Aufgaben wahr und nimmt an der Vorstandssitzung teil. Die Abwesenheitsvertreter werden für die Dauer von vier Jahren bestellt.</w:t>
      </w:r>
    </w:p>
    <w:p>
      <w:r>
        <w:t xml:space="preserve">(2) Die Mitglieder des Klinikvorstandes regeln, wer von ihnen im Falle der Verhinderung der/des Vorstandsvorsitzenden ihre/seine Aufgaben wahrnimmt. Diese Aufgaben können nicht von den Abwesenheitsvertretern / Abwesenheitsvertreterinnen übernommen werden. Das Nähere regelt die Geschäftsordnung (§ 13 dieser Satzung).</w:t>
      </w:r>
    </w:p>
    <w:p>
      <w:r>
        <w:rPr>
          <w:color w:val="555555"/>
          <w:sz w:val="17"/>
        </w:rPr>
        <w:t xml:space="preserve">Zitiervorschlag: § 9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