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NW_30000 (Nordrhein-Westfalen) — Klinikvorstand</w:t>
      </w:r>
    </w:p>
    <w:p>
      <w:r>
        <w:rPr>
          <w:color w:val="555555"/>
          <w:sz w:val="18"/>
        </w:rPr>
        <w:t xml:space="preserve">Betriebssatzung für die LVR-Kliniken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jedes Krankenhaus wird ein Klinikvorstand bestellt. Der Klinikvorstand ist die Betriebsleitung im Sinne der §§ 31 Krankenhausgestaltungsgesetz NRW, 3 Gemeindekrankenhausbetriebsverordnung des Landes Nordrhein-Westfalen. Dem Klinikvorstand gehören jeweils an:</w:t>
      </w:r>
    </w:p>
    <w:p>
      <w:r>
        <w:t xml:space="preserve">- die Ärztliche Direktorin / der Ärztliche Direktor1</w:t>
      </w:r>
    </w:p>
    <w:p>
      <w:r>
        <w:t xml:space="preserve">- die Pflegedirektorin / der Pflegedirektor2</w:t>
      </w:r>
    </w:p>
    <w:p>
      <w:r>
        <w:t xml:space="preserve">- die Kaufmännische Direktorin / der Kaufmännische Direktor3</w:t>
      </w:r>
    </w:p>
    <w:p>
      <w:r>
        <w:t xml:space="preserve">Die Mitglieder des Klinikvorstandes werden aufgrund eines Beschlusses des Gesundheitssausschusses auf die Dauer von vier Jahren bestellt.</w:t>
      </w:r>
    </w:p>
    <w:p>
      <w:r>
        <w:t xml:space="preserve">(2) Die Ärztliche Direktion ist aus dem Kreis der Abteilungsärztinnen und Abteilungsärzte zu berufen. In dem LVR-Klinikum Düsseldorf und dem LVR-Klinikum Essen muss sie/er zusätzlich der Gruppe der Hochschullehrerinnen und Hochschullehrer angehören.</w:t>
      </w:r>
    </w:p>
    <w:p>
      <w:r>
        <w:t xml:space="preserve">(3) Eine Erweiterung des Klinikvorstandes ist zulässig. Die Entscheidung über die Erweiterung einschließlich der Regelung über das Stimmrecht ist dem Direktor/der Direktorin des Landschaftsverbandes Rheinland vorbehalten. § 31 Absatz 1 Satz 4 Krankenhausgestaltungsgesetz NRW ist einzuhalten.</w:t>
      </w:r>
    </w:p>
    <w:p>
      <w:r>
        <w:rPr>
          <w:color w:val="555555"/>
          <w:sz w:val="17"/>
        </w:rPr>
        <w:t xml:space="preserve">Zitiervorschlag: § 6 NW_30000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https://recht.nulegal.eu/gesetze/NW_30000/6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