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NW_30000 (Nordrhein-Westfalen) — Maßregelvollzug</w:t>
      </w:r>
    </w:p>
    <w:p>
      <w:r>
        <w:rPr>
          <w:color w:val="555555"/>
          <w:sz w:val="18"/>
        </w:rPr>
        <w:t xml:space="preserve">Betriebssatzung für die LVR-Kliniken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Maßregeln der Besserung und Sicherung ist gemäß § 29 Maßregelvollzugsgesetz NRW das Land zuständig. Soweit das Land von einer Übertragungsmöglichkeit auf Dritte keinen Gebrauch gemacht hat, ist – mit Ausnahme der Errichtung, Änderung und Nutzungsänderung baulicher Anlagen – die Direktorin / der Direktor des Landschaftsverbandes Rheinland als staatliche Verwaltungsbehörde zuständig.</w:t>
      </w:r>
    </w:p>
    <w:p>
      <w:r>
        <w:t xml:space="preserve">(2) Die Vorgaben dieser Satzung gelten für die Bereiche des Maßregelvollzugs mit der Maßgabe, dass sich aus dem Maßregelvollzugsgesetz keine Abweichungen ergeben.</w:t>
      </w:r>
    </w:p>
    <w:p>
      <w:r>
        <w:rPr>
          <w:color w:val="555555"/>
          <w:sz w:val="17"/>
        </w:rPr>
        <w:t xml:space="preserve">Zitiervorschlag: § 3 NW_30000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https://recht.nulegal.eu/gesetze/NW_30000/3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