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NW_30000 (Nordrhein-Westfalen) — Inkrafttreten</w:t>
      </w:r>
    </w:p>
    <w:p>
      <w:r>
        <w:rPr>
          <w:color w:val="555555"/>
          <w:sz w:val="18"/>
        </w:rPr>
        <w:t xml:space="preserve">Betriebssatzung für die LVR-Kliniken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Satzung tritt am Tage nach ihrer Bekanntmachung im Gesetz- und Verordnungsblatt NRW in Kraft.</w:t>
      </w:r>
    </w:p>
    <w:p>
      <w:r>
        <w:t xml:space="preserve">(2) Gleichzeitig wird die von der Landschaftsversammlung Rheinland am 7. September 2005 beschlossene Betriebssatzung für die Rheinischen Kliniken (RK) und die Rheinische Klinik für Orthopädie Viersen des Landschaftsverbandes Rheinland (GV. NRW. S. 798) aufgehoben.</w:t>
      </w:r>
    </w:p>
    <w:p>
      <w:r>
        <w:t xml:space="preserve">Köln, den 28. August 2009</w:t>
      </w:r>
    </w:p>
    <w:p>
      <w:r>
        <w:t xml:space="preserve">Der Vorsitzende</w:t>
      </w:r>
    </w:p>
    <w:p>
      <w:r>
        <w:t xml:space="preserve">der Landschaftsversammlung</w:t>
      </w:r>
    </w:p>
    <w:p>
      <w:r>
        <w:t xml:space="preserve">D r. W i l h e l m</w:t>
      </w:r>
    </w:p>
    <w:p>
      <w:r>
        <w:t xml:space="preserve">Der Schriftführer</w:t>
      </w:r>
    </w:p>
    <w:p>
      <w:r>
        <w:t xml:space="preserve">der Landschaftsversammlung</w:t>
      </w:r>
    </w:p>
    <w:p>
      <w:r>
        <w:t xml:space="preserve">V o i g t s b e r g e r</w:t>
      </w:r>
    </w:p>
    <w:p>
      <w:r>
        <w:t xml:space="preserve">Die vorstehende Satzung des Landschaftsverbandes Rheinland wird gemäß § 6 Absatz 2 Landschaftsverbandsordnung in der zurzeit geltenden Fassung bekannt gemacht.</w:t>
      </w:r>
    </w:p>
    <w:p>
      <w:r>
        <w:t xml:space="preserve">Nach § 6 Absatz 3 der Landschaftsverbandsordnung kann die Verletzung von Verfahrens- oder Formvorschriften der Landschaftsverbandsordnung gegen die Satzung nach Ablauf eines Jahres seit ihrer Verkündung nicht mehr geltend gemacht werden, es sei denn,</w:t>
      </w:r>
    </w:p>
    <w:p>
      <w:r>
        <w:t xml:space="preserve">a) eine vorgeschriebene Genehmigung fehlt oder ein vorgeschriebenes Anzeigeverfahren wurde nicht durchgeführt,</w:t>
      </w:r>
    </w:p>
    <w:p>
      <w:r>
        <w:t xml:space="preserve">b) die Satzung ist nicht ordnungsgemäß öffentlich bekannt gemacht worden,</w:t>
      </w:r>
    </w:p>
    <w:p>
      <w:r>
        <w:t xml:space="preserve">c) der Direktor des Landschaftsverbandes hat den Beschluss der Landschaftsversammlung vorher beanstandet oder</w:t>
      </w:r>
    </w:p>
    <w:p>
      <w:r>
        <w:t xml:space="preserve">d) der Form- oder Verfahrensmangel ist gegenüber dem Landschaftsverband vorher gerügt und dabei die verletzte Rechtsvorschrift und die Tatsache bezeichnet worden, die den Mangel ergibt.</w:t>
      </w:r>
    </w:p>
    <w:p>
      <w:r>
        <w:t xml:space="preserve">Köln, den 28. August 2009</w:t>
      </w:r>
    </w:p>
    <w:p>
      <w:r>
        <w:t xml:space="preserve">___________</w:t>
      </w:r>
    </w:p>
    <w:p>
      <w:r>
        <w:t xml:space="preserve">1im Folgenden als Ärztliche Direktion bezeichnet</w:t>
      </w:r>
    </w:p>
    <w:p>
      <w:r>
        <w:t xml:space="preserve">2 im Folgenden als Pflegedirektion bezeichnet</w:t>
      </w:r>
    </w:p>
    <w:p>
      <w:r>
        <w:t xml:space="preserve">3 im Folgenden als Kaufmännische Direktion bezeichnet</w:t>
      </w:r>
    </w:p>
    <w:p>
      <w:r>
        <w:t xml:space="preserve">Der Direktor</w:t>
      </w:r>
    </w:p>
    <w:p>
      <w:r>
        <w:t xml:space="preserve">des Landschaftsverbandes Rheinland</w:t>
      </w:r>
    </w:p>
    <w:p>
      <w:r>
        <w:t xml:space="preserve">V o i g t s b e r g e r</w:t>
      </w:r>
    </w:p>
    <w:p>
      <w:r>
        <w:rPr>
          <w:color w:val="555555"/>
          <w:sz w:val="17"/>
        </w:rPr>
        <w:t xml:space="preserve">Zitiervorschlag: § 28 NW_30000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https://recht.nulegal.eu/gesetze/NW_30000/28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