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NW_30000 (Nordrhein-Westfalen) — Wirtschaftsführung und Sondervermögen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LVR-Klinik ist sparsam und wirtschaftlich im Rahmen des festzulegenden Behandlungsstandards und unter Einhaltung des flexiblen Budgets zu führen.</w:t>
      </w:r>
    </w:p>
    <w:p>
      <w:r>
        <w:t xml:space="preserve">(2) Die LVR-Klinik ist als Sondervermögen zu verwalten und nachzuweisen. Auf die Erhaltung des Sondervermögens ist zu achten.</w:t>
      </w:r>
    </w:p>
    <w:p>
      <w:r>
        <w:rPr>
          <w:color w:val="555555"/>
          <w:sz w:val="17"/>
        </w:rPr>
        <w:t xml:space="preserve">Zitiervorschlag: § 20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