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NW_30000 (Nordrhein-Westfalen) — Geschäftsordnung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Geschäftsverteilung innerhalb des Klinikvorstandes sowie die nähere Ausgestaltung der Funktion des Klinikvorstandsvorsitzenden regelt eine Mustergeschäftsordnung entsprechend § 3 Absatz 3 der Gemeindekrankenhausbetriebsverordnung. Die Mustergeschäftsordnung bedarf der Zustimmung des Gesundheitsausschusses.</w:t>
      </w:r>
    </w:p>
    <w:p>
      <w:r>
        <w:t xml:space="preserve">(2) Jeder Klinikvorstand gibt sich auf der Grundlage der Mustergeschäftsordnung (§ 13 Absatz 1 dieser Satzung) der Direktorin/des Direktors des Landschaftsverbandes eine Geschäftsordnung. In dieser Geschäftsordnung werden die Verfahrensregeln sowie die Leitungsstrukturen einschließlich der Einzelzuständigkeiten der Vorstandsmitglieder geregelt.</w:t>
      </w:r>
    </w:p>
    <w:p>
      <w:r>
        <w:t xml:space="preserve">(3) Die Geschäftsordnung des Klinikvorstandes bedarf der Genehmigung durch den Direktor/die Direktorin des Landschaftsverbandes Rheinland und der Zustimmung des Krankenhausausschusses.</w:t>
      </w:r>
    </w:p>
    <w:p>
      <w:r>
        <w:t xml:space="preserve">Abschnitt 3</w:t>
      </w:r>
    </w:p>
    <w:p>
      <w:r>
        <w:t xml:space="preserve">Zuständigkeiten des Krankenhausträgers</w:t>
      </w:r>
    </w:p>
    <w:p>
      <w:r>
        <w:rPr>
          <w:color w:val="555555"/>
          <w:sz w:val="17"/>
        </w:rPr>
        <w:t xml:space="preserve">Zitiervorschlag: § 13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