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NW_29999 (Nordrhein-Westfalen) — Inkrafttreten, Außerkrafttreten</w:t>
      </w:r>
    </w:p>
    <w:p>
      <w:r>
        <w:rPr>
          <w:color w:val="555555"/>
          <w:sz w:val="18"/>
        </w:rPr>
        <w:t xml:space="preserve">Wfa-Auflösungsgesetz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2010 in Kraft.</w:t>
      </w:r>
    </w:p>
    <w:p>
      <w:r>
        <w:t xml:space="preserve">Gleichzeitig tritt das Gesetz zur Übertragung der Wohnungsbauförderungsanstalt auf die Westdeutsche Landesbank Girozentrale vom 18. Dezember 1991 (GV. NRW. S. 561)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zugleich für</w:t>
      </w:r>
    </w:p>
    <w:p>
      <w:r>
        <w:t xml:space="preserve">den Finanzminister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zugleich für</w:t>
      </w:r>
    </w:p>
    <w:p>
      <w:r>
        <w:t xml:space="preserve">den Innenminister</w:t>
      </w:r>
    </w:p>
    <w:p>
      <w:r>
        <w:t xml:space="preserve">Für den</w:t>
      </w:r>
    </w:p>
    <w:p>
      <w:r>
        <w:t xml:space="preserve">Minister für Bauen und Verkehr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5 NW_29999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NW_29999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