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NW_29999 (Nordrhein-Westfalen) — Vermögen und Aufgaben der WohnungsbauförderungsanstaltNordrhein-Westfalen</w:t>
      </w:r>
    </w:p>
    <w:p>
      <w:r>
        <w:rPr>
          <w:color w:val="555555"/>
          <w:sz w:val="18"/>
        </w:rPr>
        <w:t xml:space="preserve">Wfa-Auflösungsgesetz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Vermögen der Wohnungsbauförderungsanstalt Nordrhein-Westfalen verbleibt bei der NRW.BANK.</w:t>
      </w:r>
    </w:p>
    <w:p>
      <w:r>
        <w:t xml:space="preserve">(2) Die NRW.BANK übernimmt alle Aufgaben und Geschäfte der Wohnungsbauförderungsanstalt Nordrhein-Westfalen. Sie tritt in alle Rechte und Pflichten der Wohnungsbauförderungsanstalt Nordrhein-Westfalen ein, die dieser im Rahmen ihrer Teilrechtsfähigkeit zugeordnet sind.</w:t>
      </w:r>
    </w:p>
    <w:p>
      <w:r>
        <w:t xml:space="preserve">(3) Das Vermögen der Wohnungsbauförderungsanstalt Nordrhein-Westfalen wird Stammkapital der NRW.BANK.</w:t>
      </w:r>
    </w:p>
    <w:p>
      <w:r>
        <w:rPr>
          <w:color w:val="555555"/>
          <w:sz w:val="17"/>
        </w:rPr>
        <w:t xml:space="preserve">Zitiervorschlag: § 2 NW_29999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https://recht.nulegal.eu/gesetze/NW_29999/2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