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NW_29998 (Nordrhein-Westfalen) — Förderprogramm</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Landesregierung entscheidet nach Anhörung der NRW.BANK auf Vorschlag des für das Wohnungswesen zuständigen Ministeriums über die fachlichen und regionalen Schwerpunkte und das Volumen des Wohnraumförderungsprogramms sowie die Höhe und Dauer der Zinsverbilligung der Förderdarlehen (Eckwerte). Die Gewährträgerversammlung der NRW.BANK beschließt auf der Grundlage der Entscheidung der Landesregierung über die Eckwerte im Rahmen ihrer Entscheidung über die Grundsätze der Geschäfts-, Förder- und Risikopolitik der NRW.BANK.</w:t>
      </w:r>
    </w:p>
    <w:p>
      <w:r>
        <w:t xml:space="preserve">(2) Das für das Wohnungswesen zuständige Ministerium konkretisiert die Eckwerte in Bezug auf Förderziele und Förderbedingungen (Programminhalte).</w:t>
      </w:r>
    </w:p>
    <w:p>
      <w:r>
        <w:t xml:space="preserve">(3) Das für das Wohnungswesen zuständige Ministerium legt die Programminhalte und Fördervoraussetzungen, die Auswirkungen auf die Risikosteuerung und das Risikomanagement der NRW.BANK haben, im Einvernehmen mit dem Vorstand der NRW.BANK fest. Die Gewährträgerversammlung ist zu unterrichten.</w:t>
      </w:r>
    </w:p>
    <w:p>
      <w:r>
        <w:t xml:space="preserve">(4) Das für das Wohnungswesen zuständige Ministerium weist den Bewilligungsbehörden die Förderkontingente zu und bewirtschaftet diese nach Maßgabe der festgelegten regionalen und fachlichen Schwerpunkte. Abweichungen im Rahmen der Bewirtschaftung sind zulässig, soweit die von der Gewährträgerversammlung beschlossenen Eckwerte nicht wesentlich berührt werden. Die Voraussetzungen für die Abweichungen und das hierbei einzuhaltende Verfahren werden in einer Vereinbarung zwischen dem für das Wohnungswesen zuständigen Ministerium und der NRW.BANK geregelt.</w:t>
      </w:r>
    </w:p>
    <w:p>
      <w:r>
        <w:rPr>
          <w:color w:val="555555"/>
          <w:sz w:val="17"/>
        </w:rPr>
        <w:t xml:space="preserve">Zitiervorschlag: § 6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NW_29998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