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NW_29998 (Nordrhein-Westfalen) — Fördergrundsätze</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Förderung sind zu berücksichtigen:</w:t>
      </w:r>
    </w:p>
    <w:p>
      <w:r>
        <w:t xml:space="preserve">1. die örtlichen und regionalen wohnungswirtschaftlichen Verhältnisse,</w:t>
      </w:r>
    </w:p>
    <w:p>
      <w:r>
        <w:t xml:space="preserve">2. die besonderen Anforderungen des zu unterstützenden Personenkreises,</w:t>
      </w:r>
    </w:p>
    <w:p>
      <w:r>
        <w:t xml:space="preserve">3. die Schaffung und Erhaltung sozial stabiler Bewohnerstrukturen,</w:t>
      </w:r>
    </w:p>
    <w:p>
      <w:r>
        <w:t xml:space="preserve">4. die Anforderungen des barrierefreien Bauens,</w:t>
      </w:r>
    </w:p>
    <w:p>
      <w:r>
        <w:t xml:space="preserve">5. der sparsame Umgang mit Grund und Boden und Ressourcen schonende Bauweisen,</w:t>
      </w:r>
    </w:p>
    <w:p>
      <w:r>
        <w:t xml:space="preserve">6. der Beitrag des genossenschaftlichen Wohnens für die Entwicklung von eigentumsähnlichen Wohnformen,</w:t>
      </w:r>
    </w:p>
    <w:p>
      <w:r>
        <w:t xml:space="preserve">7. integrierte Wohnraum- und Stadtentwicklungskonzepte und</w:t>
      </w:r>
    </w:p>
    <w:p>
      <w:r>
        <w:t xml:space="preserve">8. Anforderung an klimaschutzgerechtes Bauen und Modernisieren.</w:t>
      </w:r>
    </w:p>
    <w:p>
      <w:r>
        <w:t xml:space="preserve">(2) Die öffentliche Wohnraumförderung ist eine Dienstleistung von allgemeinem wirtschaftlichen Interesse. Die Förderung wird für einen angemessenen Zeitraum festgelegt und erfolgt in einem offenen, transparenten und diskriminierungsfreien Verfahren. Sie muss dem Förderzweck angemessen sein.</w:t>
      </w:r>
    </w:p>
    <w:p>
      <w:r>
        <w:rPr>
          <w:color w:val="555555"/>
          <w:sz w:val="17"/>
        </w:rPr>
        <w:t xml:space="preserve">Zitiervorschlag: § 5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