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NW_29998 (Nordrhein-Westfalen) — aufgehoben</w:t>
      </w:r>
    </w:p>
    <w:p>
      <w:r>
        <w:rPr>
          <w:color w:val="555555"/>
          <w:sz w:val="18"/>
        </w:rPr>
        <w:t xml:space="preserve">WFNG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 kann Wohnraum für unbewohnbar erklären, wenn Mängel der in § 40 Absatz 3 bezeichneten Art den Gebrauch zu Wohnzwecken erheblich beeinträchtigen oder die Mindestanforderungen im Sinne von § 41 Absatz 2 nicht erfüllt und deswegen gesundheitliche Schäden für Bewohner zu befürchten sind. Die Unbewohnbarkeitserklärung darf nur erlassen werden, wenn die Beseitigung der Mängel oder die Erfüllung von Mindestanforderungen aufgrund des § 41 Absatz 3 nicht angeordnet werden kann.</w:t>
      </w:r>
    </w:p>
    <w:p>
      <w:r>
        <w:t xml:space="preserve">(2) Wer für unbewohnbar erklärte Wohngebäude, Wohnungen oder Wohnräume bewohnt, ist verpflichtet, diese bis zu einem von der Gemeinde zu bestimmenden Zeitpunkt zu räumen, wenn angemessener Ersatzwohnraum zu zumutbaren Bedingungen zur Verfügung steht. Lässt der Verfügungsberechtigte Wohnraum unbewohnbar werden und hat er dies zu vertreten, so hat er auf Verlangen der Gemeinde dafür zu sorgen, dass die Nutzungsberechtigten anderweitig zu zumutbaren Bedingungen untergebracht werden.</w:t>
      </w:r>
    </w:p>
    <w:p>
      <w:r>
        <w:t xml:space="preserve">(3) Die für unbewohnbar erklärten Wohngebäude, Wohnungen oder Wohnräume dürfen nicht mehr für Wohnzwecke überlassen oder in Benutzung genommen werden.</w:t>
      </w:r>
    </w:p>
    <w:p>
      <w:r>
        <w:rPr>
          <w:color w:val="555555"/>
          <w:sz w:val="17"/>
        </w:rPr>
        <w:t xml:space="preserve">Zitiervorschlag: § 42 NW_29998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https://recht.nulegal.eu/gesetze/NW_29998/42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