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NW_29998 (Nordrhein-Westfalen) — aufgehoben</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Entspricht die bauliche Beschaffenheit von Wohngebäuden, Wohnungen oder Wohnräumen nicht den Mindestanforderungen an erträgliche Wohnverhältnisse, so kann die Gemeinde anordnen, dass der Verfügungsberechtigte die Mindestanforderungen zu erfüllen hat.</w:t>
      </w:r>
    </w:p>
    <w:p>
      <w:r>
        <w:t xml:space="preserve">(2) Die Mindestanforderungen sind insbesondere nicht erfüllt, wenn</w:t>
      </w:r>
    </w:p>
    <w:p>
      <w:r>
        <w:t xml:space="preserve">1. die Möglichkeit des Anschlusses eines Herdes, einer Heizung, von elektrischer Beleuchtung oder elektrischen Geräten fehlt oder der Anschluss nicht zweckentsprechend benutzbar ist,</w:t>
      </w:r>
    </w:p>
    <w:p>
      <w:r>
        <w:t xml:space="preserve">2. Wasserversorgung, Ausguss oder Toilette fehlen oder nicht zweckentsprechend benutzbar sind oder</w:t>
      </w:r>
    </w:p>
    <w:p>
      <w:r>
        <w:t xml:space="preserve">3. Fußböden, Wände oder Decken dauernd durchfeuchtet sind.</w:t>
      </w:r>
    </w:p>
    <w:p>
      <w:r>
        <w:t xml:space="preserve">(3) Von Anordnungen nach Absatz 1 oder § 40 Absatz 3 ist für die Dauer eines Jahres abzusehen, wenn der Verfügungsberechtigte nachgewiesen hat, dass die Wohngebäude, Wohnungen oder Wohnräume aufgrund einer ihm erteilten Genehmigung anderen als Wohnzwecken zugeführt, insbesondere abgebrochen werden dürfen. Von den Anordnungen ist abzusehen, wenn der Verfügungsberechtigte nachgewiesen hat, dass die Bewirtschaftungskosten und die sich aus der Aufnahme fremder Mittel oder dem Einsatz eigener Mittel ergebenen Kapitalkosten nicht aus den Erträgen des Grundstücks aufgebracht werden können. Dabei sind angebotene Fördermittel sowie Steuervergünstigungen zu berücksichtigen. Satz 2 gilt nicht, wenn der Verfügungsberechtigte oder sein Rechtsvorgänger öffentlich-rechtliche Instandsetzungspflichten versäumt hat und der Verfügungsberechtigte nicht nachweist, dass ihre Vornahme wirtschaftlich unvertretbar oder aus einem anderen Grunde unzumutbar war.</w:t>
      </w:r>
    </w:p>
    <w:p>
      <w:r>
        <w:rPr>
          <w:color w:val="555555"/>
          <w:sz w:val="17"/>
        </w:rPr>
        <w:t xml:space="preserve">Zitiervorschlag: § 41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