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NW_29998 (Nordrhein-Westfalen) — Gleichstellungen</w:t>
      </w:r>
    </w:p>
    <w:p>
      <w:r>
        <w:rPr>
          <w:color w:val="555555"/>
          <w:sz w:val="18"/>
        </w:rPr>
        <w:t xml:space="preserve">WFNG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Vorschriften der Teile 4 und 6 gelten sinngemäß für die Inhaberin oder den Inhaber oder Verfügungsberechtigten einer Wohnung, wenn sie mit mehr als der Hälfte der Wohnfläche zum selbstständigen Gebrauch untervermietet wird. § 17 Absatz 1 Satz 1 und Absatz 3 sowie §§ 19, 20 und 21 Absatz 2 sind nicht anwendbar.</w:t>
      </w:r>
    </w:p>
    <w:p>
      <w:r>
        <w:t xml:space="preserve">(2) Die für Mietwohnungen geltenden Vorschriften gelten entsprechend für Genossenschaftswohnungen und sonstigen Wohnraum. Die für Mietwohnungen geltenden Vorschriften gelten entsprechend für einzelne Wohnräume.</w:t>
      </w:r>
    </w:p>
    <w:p>
      <w:r>
        <w:t xml:space="preserve">(3) Die sich aus der Anwendung der §§ 19 bis 21 oder 24 ergebenden Berechtigungen oder Verpflichtungen Verfügungsberechtigter gehen auf den jeweiligen Rechtsnachfolger über.</w:t>
      </w:r>
    </w:p>
    <w:p>
      <w:r>
        <w:rPr>
          <w:color w:val="555555"/>
          <w:sz w:val="17"/>
        </w:rPr>
        <w:t xml:space="preserve">Zitiervorschlag: § 28 NW_29998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https://recht.nulegal.eu/gesetze/NW_29998/28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