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NW_29998 (Nordrhein-Westfalen) — Ordnungswidrigkeiten</w:t>
      </w:r>
    </w:p>
    <w:p>
      <w:r>
        <w:rPr>
          <w:color w:val="555555"/>
          <w:sz w:val="18"/>
        </w:rPr>
        <w:t xml:space="preserve">WFNG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für die Überlassung von Wohnraum ein höheres Entgelt fordert, sich versprechen lässt oder annimmt, als nach § 16 Absatz 2 Satz 1 oder Absatz 3 oder den §§ 8, 8 a, 8 b oder 9 WoBindG zulässig ist,</w:t>
      </w:r>
    </w:p>
    <w:p>
      <w:r>
        <w:t xml:space="preserve">2. entgegen §§ 16 Absatz 4, 17 Absatz 1 Satz 1 oder 2 oder 21 Absatz 6 Satz 1 oder 2 seiner Mitteilungs- oder Auskunftspflicht nicht, nicht richtig, nicht vollständig oder nicht rechtzeitig nachkommt,</w:t>
      </w:r>
    </w:p>
    <w:p>
      <w:r>
        <w:t xml:space="preserve">3. Wohnraum entgegen § 17 Absatz 2, Absatz 3 Satz 1 oder Absatz 6 Satz 1 zum Gebrauch überlässt oder belässt,</w:t>
      </w:r>
    </w:p>
    <w:p>
      <w:r>
        <w:t xml:space="preserve">4. entgegen § 17 Absatz 7 Satz 1 Wohnraum selbst nutzt,</w:t>
      </w:r>
    </w:p>
    <w:p>
      <w:r>
        <w:t xml:space="preserve">5. seinen Instandhaltungs- und Instandsetzungspflichten nach § 21 Absatz 1 Satz 1 oder 6 nicht nachkommt,</w:t>
      </w:r>
    </w:p>
    <w:p>
      <w:r>
        <w:t xml:space="preserve">6. Wohnraum entgegen § 21 Absatz 2 leer stehen lässt,</w:t>
      </w:r>
    </w:p>
    <w:p>
      <w:r>
        <w:t xml:space="preserve">7. entgegen § 21 Absatz 3 Wohnraum anderen als Wohnzwecken zuführt oder entsprechend baulich ändert oder trotz Aufforderung die Eignung des Wohnraums für Wohnzwecke nicht wiederherstellt oder ihn nicht gemäß § 17 Absatz 2 oder 3 zum Gebrauch überlässt,</w:t>
      </w:r>
    </w:p>
    <w:p>
      <w:r>
        <w:t xml:space="preserve">8. entgegen § 21 Absatz 7 ein Mietverhältnis unzulässig kündigt oder</w:t>
      </w:r>
    </w:p>
    <w:p>
      <w:r>
        <w:t xml:space="preserve">9. entgegen § 25 Absatz 2 Satz 1 oder 2 der zuständigen Stelle Einsicht in seine Unterlagen nicht gewährt oder die Besichtigung verwehrt.</w:t>
      </w:r>
    </w:p>
    <w:p>
      <w:r>
        <w:t xml:space="preserve">(2) Die Ordnungswidrigkeit kann in den Fällen des Absatzes 1 Nummer 2 und 9 mit einem Bußgeld bis zu 4 000 Euro je Wohnung, der Nummer 3, 4 und 8 mit einem Bußgeld bis zu 25 000 Euro und der Nummer 1, 5, 6 und 7 mit einem Bußgeld bis zu 70 000 Euro geahndet werden.</w:t>
      </w:r>
    </w:p>
    <w:p>
      <w:r>
        <w:t xml:space="preserve">(3) Verwaltungsbehörde im Sinne des § 36 Absatz 1 Nr. 1 des Gesetzes über Ordnungswidrigkeiten ist in den Fällen des Absatzes 1 Nummern 1 bis 9 die zuständige Stelle.</w:t>
      </w:r>
    </w:p>
    <w:p>
      <w:r>
        <w:rPr>
          <w:color w:val="555555"/>
          <w:sz w:val="17"/>
        </w:rPr>
        <w:t xml:space="preserve">Zitiervorschlag: § 27 NW_29998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https://recht.nulegal.eu/gesetze/NW_29998/27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NW_29998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